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42C" w:rsidRPr="00141465" w:rsidRDefault="00141465" w:rsidP="002726E1">
      <w:pPr>
        <w:pStyle w:val="Title"/>
        <w:rPr>
          <w:rFonts w:cs="Arial"/>
          <w:color w:val="auto"/>
        </w:rPr>
      </w:pPr>
      <w:r w:rsidRPr="00141465">
        <w:rPr>
          <w:rFonts w:cs="Arial"/>
          <w:color w:val="00B0F0"/>
        </w:rPr>
        <w:t>FAQ on mandatory climate reporting for PRI signatories</w:t>
      </w:r>
    </w:p>
    <w:p w:rsidR="00141465" w:rsidRPr="00141465" w:rsidRDefault="00141465" w:rsidP="00141465">
      <w:pPr>
        <w:snapToGrid w:val="0"/>
        <w:spacing w:line="0" w:lineRule="atLeast"/>
        <w:rPr>
          <w:rFonts w:eastAsia="DengXian" w:cs="Arial"/>
          <w:sz w:val="22"/>
          <w:szCs w:val="22"/>
          <w:lang w:eastAsia="zh-CN"/>
        </w:rPr>
      </w:pPr>
      <w:r w:rsidRPr="00141465">
        <w:rPr>
          <w:rFonts w:eastAsia="DengXian" w:cs="Arial"/>
          <w:sz w:val="22"/>
          <w:szCs w:val="22"/>
          <w:lang w:eastAsia="zh-CN"/>
        </w:rPr>
        <w:t>Edward Baker, Senior Specialist, Climate and energy transition</w:t>
      </w:r>
    </w:p>
    <w:p w:rsidR="00141465" w:rsidRPr="00141465" w:rsidRDefault="00141465" w:rsidP="00141465">
      <w:pPr>
        <w:snapToGrid w:val="0"/>
        <w:spacing w:line="0" w:lineRule="atLeast"/>
        <w:rPr>
          <w:rFonts w:eastAsia="DengXian" w:cs="Arial"/>
          <w:sz w:val="22"/>
          <w:szCs w:val="22"/>
          <w:lang w:eastAsia="zh-CN"/>
        </w:rPr>
      </w:pPr>
      <w:r w:rsidRPr="00141465">
        <w:rPr>
          <w:rFonts w:eastAsia="DengXian" w:cs="Arial"/>
          <w:bCs/>
          <w:sz w:val="22"/>
          <w:szCs w:val="22"/>
          <w:lang w:eastAsia="en-GB"/>
        </w:rPr>
        <w:t>Senita Galijatovic,</w:t>
      </w:r>
      <w:r w:rsidRPr="00141465">
        <w:rPr>
          <w:rFonts w:eastAsia="DengXian" w:cs="Arial"/>
          <w:sz w:val="22"/>
          <w:szCs w:val="22"/>
          <w:lang w:eastAsia="en-GB"/>
        </w:rPr>
        <w:t xml:space="preserve"> Head of Reporting &amp; Accountability</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In February last year, PRI announced that reporting against TCFD based indicators would become mandatory in 2020 for 2,085 signatories in 50 markets. The reporting framework is now live </w:t>
      </w:r>
      <w:r w:rsidR="0068744C">
        <w:rPr>
          <w:rFonts w:eastAsia="DengXian" w:cs="Arial"/>
          <w:color w:val="000000"/>
          <w:sz w:val="22"/>
          <w:szCs w:val="22"/>
          <w:shd w:val="clear" w:color="auto" w:fill="FFFFFF"/>
          <w:lang w:eastAsia="zh-CN"/>
        </w:rPr>
        <w:t xml:space="preserve">and will stay open until </w:t>
      </w:r>
      <w:bookmarkStart w:id="0" w:name="_GoBack"/>
      <w:bookmarkEnd w:id="0"/>
      <w:r w:rsidRPr="00141465">
        <w:rPr>
          <w:rFonts w:eastAsia="DengXian" w:cs="Arial"/>
          <w:color w:val="000000"/>
          <w:sz w:val="22"/>
          <w:szCs w:val="22"/>
          <w:shd w:val="clear" w:color="auto" w:fill="FFFFFF"/>
          <w:lang w:eastAsia="zh-CN"/>
        </w:rPr>
        <w:t>31</w:t>
      </w:r>
      <w:r w:rsidRPr="00141465">
        <w:rPr>
          <w:rFonts w:eastAsia="DengXian" w:cs="Arial"/>
          <w:color w:val="000000"/>
          <w:sz w:val="22"/>
          <w:szCs w:val="22"/>
          <w:shd w:val="clear" w:color="auto" w:fill="FFFFFF"/>
          <w:vertAlign w:val="superscript"/>
          <w:lang w:eastAsia="zh-CN"/>
        </w:rPr>
        <w:t>st</w:t>
      </w:r>
      <w:r w:rsidRPr="00141465">
        <w:rPr>
          <w:rFonts w:eastAsia="DengXian" w:cs="Arial"/>
          <w:color w:val="000000"/>
          <w:sz w:val="22"/>
          <w:szCs w:val="22"/>
          <w:shd w:val="clear" w:color="auto" w:fill="FFFFFF"/>
          <w:lang w:eastAsia="zh-CN"/>
        </w:rPr>
        <w:t xml:space="preserve"> of </w:t>
      </w:r>
      <w:r>
        <w:rPr>
          <w:rFonts w:eastAsia="DengXian" w:cs="Arial"/>
          <w:color w:val="000000"/>
          <w:sz w:val="22"/>
          <w:szCs w:val="22"/>
          <w:shd w:val="clear" w:color="auto" w:fill="FFFFFF"/>
          <w:lang w:eastAsia="zh-CN"/>
        </w:rPr>
        <w:t>March</w:t>
      </w:r>
      <w:r w:rsidRPr="00141465">
        <w:rPr>
          <w:rFonts w:eastAsia="DengXian" w:cs="Arial"/>
          <w:color w:val="000000"/>
          <w:sz w:val="22"/>
          <w:szCs w:val="22"/>
          <w:shd w:val="clear" w:color="auto" w:fill="FFFFFF"/>
          <w:lang w:eastAsia="zh-CN"/>
        </w:rPr>
        <w:t xml:space="preserve">. </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Supporting signatories prepare and report on these climate risk indicators is a high priority. Following on from a webinar held earlier this month, this </w:t>
      </w:r>
      <w:r w:rsidRPr="00141465">
        <w:rPr>
          <w:rFonts w:eastAsia="DengXian" w:cs="Arial"/>
          <w:color w:val="000000"/>
          <w:sz w:val="22"/>
          <w:szCs w:val="22"/>
          <w:shd w:val="clear" w:color="auto" w:fill="FFFFFF"/>
          <w:lang w:eastAsia="zh-CN"/>
        </w:rPr>
        <w:t xml:space="preserve">paper </w:t>
      </w:r>
      <w:r w:rsidRPr="00141465">
        <w:rPr>
          <w:rFonts w:eastAsia="DengXian" w:cs="Arial"/>
          <w:color w:val="000000"/>
          <w:sz w:val="22"/>
          <w:szCs w:val="22"/>
          <w:shd w:val="clear" w:color="auto" w:fill="FFFFFF"/>
          <w:lang w:eastAsia="zh-CN"/>
        </w:rPr>
        <w:t xml:space="preserve">provides an overview on key and commonly asked questions. Should you have additional questions please contact </w:t>
      </w:r>
      <w:hyperlink r:id="rId11" w:history="1">
        <w:r w:rsidRPr="00141465">
          <w:rPr>
            <w:rFonts w:eastAsia="DengXian" w:cs="Arial"/>
            <w:color w:val="0563C1"/>
            <w:sz w:val="22"/>
            <w:szCs w:val="22"/>
            <w:u w:val="single"/>
            <w:shd w:val="clear" w:color="auto" w:fill="FFFFFF"/>
            <w:lang w:eastAsia="zh-CN"/>
          </w:rPr>
          <w:t>reporting@unpri.org</w:t>
        </w:r>
      </w:hyperlink>
      <w:r w:rsidRPr="00141465">
        <w:rPr>
          <w:rFonts w:eastAsia="DengXian" w:cs="Arial"/>
          <w:color w:val="000000"/>
          <w:sz w:val="22"/>
          <w:szCs w:val="22"/>
          <w:shd w:val="clear" w:color="auto" w:fill="FFFFFF"/>
          <w:lang w:eastAsia="zh-CN"/>
        </w:rPr>
        <w:t>.</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 xml:space="preserve">Q1. What are the TCFD recommendations? </w:t>
      </w: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p>
    <w:p w:rsidR="00141465" w:rsidRPr="00141465" w:rsidRDefault="00141465" w:rsidP="00141465">
      <w:pPr>
        <w:spacing w:after="160" w:line="259" w:lineRule="auto"/>
        <w:rPr>
          <w:rFonts w:eastAsia="DengXian" w:cs="Arial"/>
          <w:b/>
          <w:bCs/>
          <w:sz w:val="22"/>
          <w:szCs w:val="22"/>
          <w:lang w:eastAsia="zh-CN"/>
        </w:rPr>
      </w:pPr>
      <w:r w:rsidRPr="00141465">
        <w:rPr>
          <w:rFonts w:eastAsia="DengXian" w:cs="Arial"/>
          <w:bCs/>
          <w:sz w:val="22"/>
          <w:szCs w:val="22"/>
          <w:lang w:eastAsia="zh-CN"/>
        </w:rPr>
        <w:t xml:space="preserve">The recommendations from the </w:t>
      </w:r>
      <w:proofErr w:type="spellStart"/>
      <w:r w:rsidRPr="00141465">
        <w:rPr>
          <w:rFonts w:eastAsia="DengXian" w:cs="Arial"/>
          <w:bCs/>
          <w:sz w:val="22"/>
          <w:szCs w:val="22"/>
          <w:lang w:eastAsia="zh-CN"/>
        </w:rPr>
        <w:t>the</w:t>
      </w:r>
      <w:proofErr w:type="spellEnd"/>
      <w:r w:rsidRPr="00141465">
        <w:rPr>
          <w:rFonts w:eastAsia="DengXian" w:cs="Arial"/>
          <w:bCs/>
          <w:sz w:val="22"/>
          <w:szCs w:val="22"/>
          <w:lang w:eastAsia="zh-CN"/>
        </w:rPr>
        <w:t xml:space="preserve"> Financial Stability Board’s Taskforce on Climate-related Financial Disclosure (TCFD) provide a common international framework for companies and investors to translate information about climate change in financial metrics. </w:t>
      </w:r>
    </w:p>
    <w:p w:rsidR="00141465" w:rsidRPr="00141465" w:rsidRDefault="00141465" w:rsidP="00141465">
      <w:pPr>
        <w:spacing w:after="160" w:line="259" w:lineRule="auto"/>
        <w:ind w:left="720"/>
        <w:rPr>
          <w:rFonts w:eastAsia="DengXian" w:cs="Arial"/>
          <w:bCs/>
          <w:sz w:val="22"/>
          <w:szCs w:val="22"/>
          <w:lang w:eastAsia="zh-CN"/>
        </w:rPr>
      </w:pPr>
      <w:r w:rsidRPr="00141465">
        <w:rPr>
          <w:rFonts w:eastAsia="DengXian" w:cs="Arial"/>
          <w:b/>
          <w:sz w:val="22"/>
          <w:szCs w:val="22"/>
          <w:lang w:eastAsia="zh-CN"/>
        </w:rPr>
        <w:t>What did the TCFD recommend?</w:t>
      </w:r>
      <w:r w:rsidRPr="00141465">
        <w:rPr>
          <w:rFonts w:eastAsia="DengXian" w:cs="Arial"/>
          <w:bCs/>
          <w:sz w:val="22"/>
          <w:szCs w:val="22"/>
          <w:lang w:eastAsia="zh-CN"/>
        </w:rPr>
        <w:t xml:space="preserve"> Disclosing against eleven questions clustered under four categories: governance, strategy, risk management and metrics.</w:t>
      </w:r>
    </w:p>
    <w:p w:rsidR="00141465" w:rsidRDefault="00141465" w:rsidP="00141465">
      <w:pPr>
        <w:spacing w:after="160" w:line="259" w:lineRule="auto"/>
        <w:ind w:left="720"/>
        <w:rPr>
          <w:rFonts w:eastAsia="DengXian" w:cs="Arial"/>
          <w:sz w:val="22"/>
          <w:szCs w:val="22"/>
          <w:lang w:eastAsia="zh-CN"/>
        </w:rPr>
      </w:pPr>
      <w:r w:rsidRPr="00141465">
        <w:rPr>
          <w:rFonts w:eastAsia="DengXian" w:cs="Arial"/>
          <w:sz w:val="22"/>
          <w:szCs w:val="22"/>
          <w:lang w:eastAsia="zh-CN"/>
        </w:rPr>
        <w:t>The recommendations seek to mainstream the management of climate-related risks and opportunities and provide a framework through which organisations can test the resilience of their strategy to climate impacts and policy goals</w:t>
      </w:r>
    </w:p>
    <w:p w:rsidR="00141465" w:rsidRPr="00141465" w:rsidRDefault="00141465" w:rsidP="00141465">
      <w:pPr>
        <w:spacing w:after="160" w:line="259" w:lineRule="auto"/>
        <w:ind w:left="720"/>
        <w:rPr>
          <w:rFonts w:eastAsia="DengXian" w:cs="Arial"/>
          <w:bCs/>
          <w:sz w:val="22"/>
          <w:szCs w:val="22"/>
          <w:lang w:eastAsia="zh-CN"/>
        </w:rPr>
      </w:pPr>
      <w:r w:rsidRPr="00141465">
        <w:rPr>
          <w:rFonts w:eastAsia="DengXian" w:cs="Arial"/>
          <w:b/>
          <w:sz w:val="22"/>
          <w:szCs w:val="22"/>
          <w:lang w:eastAsia="zh-CN"/>
        </w:rPr>
        <w:t>Who are the recommendations for?</w:t>
      </w:r>
      <w:r w:rsidRPr="00141465">
        <w:rPr>
          <w:rFonts w:eastAsia="DengXian" w:cs="Arial"/>
          <w:bCs/>
          <w:sz w:val="22"/>
          <w:szCs w:val="22"/>
          <w:lang w:eastAsia="zh-CN"/>
        </w:rPr>
        <w:t xml:space="preserve"> Both companies, banks, insurers and investors. </w:t>
      </w:r>
      <w:r w:rsidRPr="00141465">
        <w:rPr>
          <w:rFonts w:eastAsia="DengXian" w:cs="Arial"/>
          <w:bCs/>
          <w:iCs/>
          <w:sz w:val="22"/>
          <w:szCs w:val="22"/>
          <w:lang w:eastAsia="zh-CN"/>
        </w:rPr>
        <w:t xml:space="preserve">The TCFD </w:t>
      </w:r>
      <w:r w:rsidRPr="00141465">
        <w:rPr>
          <w:rFonts w:eastAsia="DengXian" w:cs="Arial"/>
          <w:bCs/>
          <w:sz w:val="22"/>
          <w:szCs w:val="22"/>
          <w:lang w:eastAsia="zh-CN"/>
        </w:rPr>
        <w:t>considers</w:t>
      </w:r>
      <w:r w:rsidRPr="00141465">
        <w:rPr>
          <w:rFonts w:eastAsia="DengXian" w:cs="Arial"/>
          <w:bCs/>
          <w:iCs/>
          <w:sz w:val="22"/>
          <w:szCs w:val="22"/>
          <w:lang w:eastAsia="zh-CN"/>
        </w:rPr>
        <w:t xml:space="preserve"> investors </w:t>
      </w:r>
      <w:r w:rsidRPr="00141465">
        <w:rPr>
          <w:rFonts w:eastAsia="DengXian" w:cs="Arial"/>
          <w:bCs/>
          <w:sz w:val="22"/>
          <w:szCs w:val="22"/>
          <w:lang w:eastAsia="zh-CN"/>
        </w:rPr>
        <w:t>to be</w:t>
      </w:r>
      <w:r w:rsidRPr="00141465">
        <w:rPr>
          <w:rFonts w:eastAsia="DengXian" w:cs="Arial"/>
          <w:bCs/>
          <w:iCs/>
          <w:sz w:val="22"/>
          <w:szCs w:val="22"/>
          <w:lang w:eastAsia="zh-CN"/>
        </w:rPr>
        <w:t xml:space="preserve"> both users and</w:t>
      </w:r>
      <w:r w:rsidRPr="00141465">
        <w:rPr>
          <w:rFonts w:eastAsia="DengXian" w:cs="Arial"/>
          <w:bCs/>
          <w:sz w:val="22"/>
          <w:szCs w:val="22"/>
          <w:lang w:eastAsia="zh-CN"/>
        </w:rPr>
        <w:t xml:space="preserve"> the issuers of climate-relate disclosures. </w:t>
      </w:r>
    </w:p>
    <w:p w:rsidR="00141465" w:rsidRPr="00141465" w:rsidRDefault="00141465" w:rsidP="00141465">
      <w:pPr>
        <w:spacing w:after="160" w:line="259" w:lineRule="auto"/>
        <w:ind w:left="720"/>
        <w:rPr>
          <w:rFonts w:eastAsia="DengXian" w:cs="Arial"/>
          <w:sz w:val="22"/>
          <w:szCs w:val="22"/>
          <w:lang w:eastAsia="zh-CN"/>
        </w:rPr>
      </w:pPr>
      <w:r w:rsidRPr="00141465">
        <w:rPr>
          <w:rFonts w:eastAsia="DengXian" w:cs="Arial"/>
          <w:b/>
          <w:bCs/>
          <w:sz w:val="22"/>
          <w:szCs w:val="22"/>
          <w:lang w:eastAsia="zh-CN"/>
        </w:rPr>
        <w:t xml:space="preserve">Where should the disclosures take place? </w:t>
      </w:r>
      <w:r w:rsidRPr="00141465">
        <w:rPr>
          <w:rFonts w:eastAsia="DengXian" w:cs="Arial"/>
          <w:sz w:val="22"/>
          <w:szCs w:val="22"/>
          <w:lang w:eastAsia="zh-CN"/>
        </w:rPr>
        <w:t>In companies’ and investors’ regular financial filings (e.g. annual report or periodic client reporting).</w:t>
      </w:r>
    </w:p>
    <w:p w:rsidR="00141465" w:rsidRPr="00141465" w:rsidRDefault="00141465" w:rsidP="00141465">
      <w:pPr>
        <w:spacing w:after="160" w:line="259" w:lineRule="auto"/>
        <w:ind w:left="720"/>
        <w:rPr>
          <w:rFonts w:eastAsia="DengXian" w:cs="Arial"/>
          <w:sz w:val="22"/>
          <w:szCs w:val="22"/>
          <w:lang w:eastAsia="zh-CN"/>
        </w:rPr>
      </w:pPr>
    </w:p>
    <w:p w:rsidR="00141465" w:rsidRPr="00141465" w:rsidRDefault="00141465" w:rsidP="00141465">
      <w:pPr>
        <w:spacing w:after="160" w:line="259" w:lineRule="auto"/>
        <w:ind w:left="720"/>
        <w:rPr>
          <w:rFonts w:eastAsia="DengXian" w:cs="Arial"/>
          <w:b/>
          <w:sz w:val="22"/>
          <w:szCs w:val="22"/>
          <w:lang w:eastAsia="zh-CN"/>
        </w:rPr>
      </w:pPr>
    </w:p>
    <w:p w:rsidR="00141465" w:rsidRPr="00141465" w:rsidRDefault="00141465" w:rsidP="00141465">
      <w:pPr>
        <w:spacing w:after="160" w:line="259" w:lineRule="auto"/>
        <w:ind w:left="720"/>
        <w:rPr>
          <w:rFonts w:eastAsia="DengXian" w:cs="Arial"/>
          <w:b/>
          <w:sz w:val="22"/>
          <w:szCs w:val="22"/>
          <w:lang w:eastAsia="zh-CN"/>
        </w:rPr>
      </w:pPr>
    </w:p>
    <w:p w:rsidR="00141465" w:rsidRPr="00141465" w:rsidRDefault="00141465" w:rsidP="00141465">
      <w:pPr>
        <w:spacing w:after="160" w:line="259" w:lineRule="auto"/>
        <w:rPr>
          <w:rFonts w:eastAsia="DengXian" w:cs="Arial"/>
          <w:b/>
          <w:sz w:val="22"/>
          <w:szCs w:val="22"/>
          <w:lang w:eastAsia="zh-CN"/>
        </w:rPr>
      </w:pPr>
    </w:p>
    <w:p w:rsidR="00141465" w:rsidRPr="00141465" w:rsidRDefault="00141465" w:rsidP="00141465">
      <w:pPr>
        <w:spacing w:after="160" w:line="259" w:lineRule="auto"/>
        <w:ind w:left="720"/>
        <w:rPr>
          <w:rFonts w:eastAsia="DengXian" w:cs="Arial"/>
          <w:b/>
          <w:sz w:val="22"/>
          <w:szCs w:val="22"/>
          <w:lang w:eastAsia="zh-CN"/>
        </w:rPr>
      </w:pPr>
      <w:r w:rsidRPr="00141465">
        <w:rPr>
          <w:rFonts w:eastAsia="DengXian" w:cs="Arial"/>
          <w:b/>
          <w:sz w:val="22"/>
          <w:szCs w:val="22"/>
          <w:lang w:eastAsia="zh-CN"/>
        </w:rPr>
        <w:lastRenderedPageBreak/>
        <w:t>The TCFD recommendations</w:t>
      </w:r>
    </w:p>
    <w:p w:rsidR="00141465" w:rsidRPr="00141465" w:rsidRDefault="00141465" w:rsidP="00141465">
      <w:pPr>
        <w:spacing w:after="160" w:line="259" w:lineRule="auto"/>
        <w:ind w:left="720"/>
        <w:rPr>
          <w:rFonts w:eastAsia="DengXian" w:cs="Arial"/>
          <w:bCs/>
          <w:sz w:val="22"/>
          <w:szCs w:val="22"/>
          <w:lang w:eastAsia="zh-CN"/>
        </w:rPr>
      </w:pPr>
      <w:r w:rsidRPr="00141465">
        <w:rPr>
          <w:rFonts w:eastAsia="DengXian" w:cs="Arial"/>
          <w:noProof/>
          <w:sz w:val="22"/>
          <w:szCs w:val="22"/>
          <w:lang w:eastAsia="zh-CN"/>
        </w:rPr>
        <w:drawing>
          <wp:inline distT="0" distB="0" distL="0" distR="0" wp14:anchorId="6CCCC9F0" wp14:editId="076BE457">
            <wp:extent cx="5731510" cy="2839085"/>
            <wp:effectExtent l="0" t="0" r="2540" b="0"/>
            <wp:docPr id="6" name="Picture 5">
              <a:extLst xmlns:a="http://schemas.openxmlformats.org/drawingml/2006/main">
                <a:ext uri="{FF2B5EF4-FFF2-40B4-BE49-F238E27FC236}">
                  <a16:creationId xmlns:a16="http://schemas.microsoft.com/office/drawing/2014/main" id="{BE14C044-ED82-4982-B2AC-8B4CE3A71E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E14C044-ED82-4982-B2AC-8B4CE3A71E24}"/>
                        </a:ext>
                      </a:extLst>
                    </pic:cNvPr>
                    <pic:cNvPicPr>
                      <a:picLocks noChangeAspect="1"/>
                    </pic:cNvPicPr>
                  </pic:nvPicPr>
                  <pic:blipFill rotWithShape="1">
                    <a:blip r:embed="rId12"/>
                    <a:srcRect l="14895" t="22778" r="14018" b="14630"/>
                    <a:stretch/>
                  </pic:blipFill>
                  <pic:spPr>
                    <a:xfrm>
                      <a:off x="0" y="0"/>
                      <a:ext cx="5731510" cy="2839085"/>
                    </a:xfrm>
                    <a:prstGeom prst="rect">
                      <a:avLst/>
                    </a:prstGeom>
                  </pic:spPr>
                </pic:pic>
              </a:graphicData>
            </a:graphic>
          </wp:inline>
        </w:drawing>
      </w: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 xml:space="preserve">Q2. What indicators are mandatory to report on? </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The specific indicators are SG 1 CC, SG 7 CC and SG 13 CC and available </w:t>
      </w:r>
      <w:hyperlink r:id="rId13" w:history="1">
        <w:r w:rsidRPr="00141465">
          <w:rPr>
            <w:rFonts w:eastAsia="DengXian" w:cs="Arial"/>
            <w:color w:val="0563C1"/>
            <w:sz w:val="22"/>
            <w:szCs w:val="22"/>
            <w:u w:val="single"/>
            <w:shd w:val="clear" w:color="auto" w:fill="FFFFFF"/>
            <w:lang w:eastAsia="zh-CN"/>
          </w:rPr>
          <w:t>here</w:t>
        </w:r>
      </w:hyperlink>
      <w:r w:rsidRPr="00141465">
        <w:rPr>
          <w:rFonts w:eastAsia="DengXian" w:cs="Arial"/>
          <w:color w:val="000000"/>
          <w:sz w:val="22"/>
          <w:szCs w:val="22"/>
          <w:shd w:val="clear" w:color="auto" w:fill="FFFFFF"/>
          <w:lang w:eastAsia="zh-CN"/>
        </w:rPr>
        <w:t xml:space="preserve"> (with guidance notes on each indicator question).</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The three indicators consist of a total of 17 different sub-indicator questions. They relate to the identification of climate-related risks and opportunities, the board’s oversight, as well as the integration with investment strategy and climate scenario analysis. </w:t>
      </w: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Q3. How do the TCFD recommendations and the PRI climate indicators differ?</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Whilst drawn from the TCFD recommendations, PRI’s climate indicators do differ in several important respects:</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2019FB">
      <w:pPr>
        <w:numPr>
          <w:ilvl w:val="0"/>
          <w:numId w:val="14"/>
        </w:numPr>
        <w:snapToGrid w:val="0"/>
        <w:spacing w:after="160" w:line="0" w:lineRule="atLeast"/>
        <w:contextualSpacing/>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What needs to be reported. The responses sought by the PRI climate indicators are more descriptive in nature, whereas the TCFD recommendations seek a balance of qualitative and quantitative reporting. </w:t>
      </w:r>
    </w:p>
    <w:p w:rsidR="00141465" w:rsidRPr="00141465" w:rsidRDefault="00141465" w:rsidP="002019FB">
      <w:pPr>
        <w:numPr>
          <w:ilvl w:val="0"/>
          <w:numId w:val="14"/>
        </w:numPr>
        <w:snapToGrid w:val="0"/>
        <w:spacing w:after="160" w:line="0" w:lineRule="atLeast"/>
        <w:contextualSpacing/>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Where the disclosures are made. A TCFD report should be published in the mainstream financial filings, which for listed companies could be subject to audit, whereas signatory reporting to PRI is self-reported data.</w:t>
      </w:r>
    </w:p>
    <w:p w:rsidR="00141465" w:rsidRPr="00141465" w:rsidRDefault="00141465" w:rsidP="002019FB">
      <w:pPr>
        <w:numPr>
          <w:ilvl w:val="0"/>
          <w:numId w:val="14"/>
        </w:numPr>
        <w:snapToGrid w:val="0"/>
        <w:spacing w:after="160" w:line="0" w:lineRule="atLeast"/>
        <w:contextualSpacing/>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The PRI </w:t>
      </w:r>
      <w:r w:rsidRPr="00141465">
        <w:rPr>
          <w:rFonts w:eastAsia="DengXian" w:cs="Arial"/>
          <w:b/>
          <w:color w:val="000000"/>
          <w:sz w:val="22"/>
          <w:szCs w:val="22"/>
          <w:shd w:val="clear" w:color="auto" w:fill="FFFFFF"/>
          <w:lang w:eastAsia="zh-CN"/>
        </w:rPr>
        <w:t xml:space="preserve">climate indicators are mandatory to report on, </w:t>
      </w:r>
      <w:r w:rsidRPr="00141465">
        <w:rPr>
          <w:rFonts w:eastAsia="DengXian" w:cs="Arial"/>
          <w:b/>
          <w:i/>
          <w:color w:val="000000"/>
          <w:sz w:val="22"/>
          <w:szCs w:val="22"/>
          <w:shd w:val="clear" w:color="auto" w:fill="FFFFFF"/>
          <w:lang w:eastAsia="zh-CN"/>
        </w:rPr>
        <w:t>but</w:t>
      </w:r>
      <w:r w:rsidRPr="00141465">
        <w:rPr>
          <w:rFonts w:eastAsia="DengXian" w:cs="Arial"/>
          <w:b/>
          <w:color w:val="000000"/>
          <w:sz w:val="22"/>
          <w:szCs w:val="22"/>
          <w:shd w:val="clear" w:color="auto" w:fill="FFFFFF"/>
          <w:lang w:eastAsia="zh-CN"/>
        </w:rPr>
        <w:t xml:space="preserve"> voluntary to disclose.</w:t>
      </w:r>
      <w:r w:rsidRPr="00141465">
        <w:rPr>
          <w:rFonts w:eastAsia="DengXian" w:cs="Arial"/>
          <w:color w:val="000000"/>
          <w:sz w:val="22"/>
          <w:szCs w:val="22"/>
          <w:shd w:val="clear" w:color="auto" w:fill="FFFFFF"/>
          <w:lang w:eastAsia="zh-CN"/>
        </w:rPr>
        <w:t xml:space="preserve"> Whereas TCFD is a disclosure framework, implementing it necessarily involves public reporting. </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The indicators are designed to </w:t>
      </w:r>
      <w:r w:rsidRPr="00141465">
        <w:rPr>
          <w:rFonts w:eastAsia="DengXian" w:cs="Arial"/>
          <w:b/>
          <w:color w:val="000000"/>
          <w:sz w:val="22"/>
          <w:szCs w:val="22"/>
          <w:shd w:val="clear" w:color="auto" w:fill="FFFFFF"/>
          <w:lang w:eastAsia="zh-CN"/>
        </w:rPr>
        <w:t>complement, not replace, TCFD reporting</w:t>
      </w:r>
      <w:r w:rsidRPr="00141465">
        <w:rPr>
          <w:rFonts w:eastAsia="DengXian" w:cs="Arial"/>
          <w:color w:val="000000"/>
          <w:sz w:val="22"/>
          <w:szCs w:val="22"/>
          <w:shd w:val="clear" w:color="auto" w:fill="FFFFFF"/>
          <w:lang w:eastAsia="zh-CN"/>
        </w:rPr>
        <w:t xml:space="preserve"> and are a means for signatories to try climate-related reporting and compare their responses with peers.</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Default="00141465">
      <w:pPr>
        <w:ind w:left="357" w:hanging="357"/>
        <w:rPr>
          <w:rFonts w:eastAsia="DengXian" w:cs="Arial"/>
          <w:color w:val="000000"/>
          <w:sz w:val="22"/>
          <w:szCs w:val="22"/>
          <w:shd w:val="clear" w:color="auto" w:fill="FFFFFF"/>
          <w:lang w:eastAsia="zh-CN"/>
        </w:rPr>
      </w:pPr>
      <w:r>
        <w:rPr>
          <w:rFonts w:eastAsia="DengXian" w:cs="Arial"/>
          <w:color w:val="000000"/>
          <w:sz w:val="22"/>
          <w:szCs w:val="22"/>
          <w:shd w:val="clear" w:color="auto" w:fill="FFFFFF"/>
          <w:lang w:eastAsia="zh-CN"/>
        </w:rPr>
        <w:br w:type="page"/>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lastRenderedPageBreak/>
        <w:t xml:space="preserve">Q4. </w:t>
      </w:r>
      <w:r w:rsidRPr="00141465">
        <w:rPr>
          <w:rFonts w:eastAsia="DengXian" w:cs="Arial"/>
          <w:b/>
          <w:color w:val="000000"/>
          <w:sz w:val="22"/>
          <w:szCs w:val="22"/>
          <w:shd w:val="clear" w:color="auto" w:fill="FFFFFF"/>
          <w:lang w:eastAsia="zh-CN"/>
        </w:rPr>
        <w:t>What are the commercial benefits and drivers of TCFD and PRI climate reporting in markets where there is no regulatory pressure on climate change?</w:t>
      </w:r>
    </w:p>
    <w:p w:rsidR="00141465" w:rsidRPr="00141465" w:rsidRDefault="00141465" w:rsidP="00141465">
      <w:pPr>
        <w:spacing w:after="160" w:line="259" w:lineRule="auto"/>
        <w:rPr>
          <w:rFonts w:eastAsia="DengXian" w:cs="Arial"/>
          <w:sz w:val="22"/>
          <w:szCs w:val="22"/>
          <w:lang w:eastAsia="zh-CN"/>
        </w:rPr>
      </w:pPr>
    </w:p>
    <w:p w:rsidR="00141465" w:rsidRPr="00141465" w:rsidRDefault="00141465" w:rsidP="00141465">
      <w:pPr>
        <w:spacing w:after="160" w:line="259" w:lineRule="auto"/>
        <w:rPr>
          <w:rFonts w:eastAsia="DengXian" w:cs="Arial"/>
          <w:sz w:val="22"/>
          <w:szCs w:val="22"/>
          <w:lang w:eastAsia="zh-CN"/>
        </w:rPr>
      </w:pPr>
      <w:r w:rsidRPr="00141465">
        <w:rPr>
          <w:rFonts w:eastAsia="DengXian" w:cs="Arial"/>
          <w:sz w:val="22"/>
          <w:szCs w:val="22"/>
          <w:lang w:eastAsia="zh-CN"/>
        </w:rPr>
        <w:t xml:space="preserve">This is likely to be a key starting question companies and investors, particularly in markets where climate change is politically charged.  While the answer will vary, in short, investors could have capital at risk. Moreover, the drivers of which are multi-dimensional </w:t>
      </w:r>
      <w:proofErr w:type="gramStart"/>
      <w:r w:rsidRPr="00141465">
        <w:rPr>
          <w:rFonts w:eastAsia="DengXian" w:cs="Arial"/>
          <w:sz w:val="22"/>
          <w:szCs w:val="22"/>
          <w:lang w:eastAsia="zh-CN"/>
        </w:rPr>
        <w:t>and in some cases</w:t>
      </w:r>
      <w:proofErr w:type="gramEnd"/>
      <w:r w:rsidRPr="00141465">
        <w:rPr>
          <w:rFonts w:eastAsia="DengXian" w:cs="Arial"/>
          <w:sz w:val="22"/>
          <w:szCs w:val="22"/>
          <w:lang w:eastAsia="zh-CN"/>
        </w:rPr>
        <w:t xml:space="preserve">, will be a growing risk-factor for investors, regardless of politics. </w:t>
      </w:r>
    </w:p>
    <w:p w:rsidR="00141465" w:rsidRPr="00141465" w:rsidRDefault="00141465" w:rsidP="002019FB">
      <w:pPr>
        <w:numPr>
          <w:ilvl w:val="0"/>
          <w:numId w:val="15"/>
        </w:numPr>
        <w:spacing w:after="160" w:line="259" w:lineRule="auto"/>
        <w:contextualSpacing/>
        <w:rPr>
          <w:rFonts w:eastAsia="DengXian" w:cs="Arial"/>
          <w:sz w:val="22"/>
          <w:szCs w:val="22"/>
          <w:lang w:eastAsia="zh-CN"/>
        </w:rPr>
      </w:pPr>
      <w:r w:rsidRPr="00141465">
        <w:rPr>
          <w:rFonts w:eastAsia="DengXian" w:cs="Arial"/>
          <w:b/>
          <w:sz w:val="22"/>
          <w:szCs w:val="22"/>
          <w:lang w:eastAsia="zh-CN"/>
        </w:rPr>
        <w:t>reputational risk:</w:t>
      </w:r>
      <w:r w:rsidRPr="00141465">
        <w:rPr>
          <w:rFonts w:eastAsia="DengXian" w:cs="Arial"/>
          <w:sz w:val="22"/>
          <w:szCs w:val="22"/>
          <w:lang w:eastAsia="zh-CN"/>
        </w:rPr>
        <w:t xml:space="preserve"> the probability of profitability loss following a business’s activities or positions that the public or clients considers harmful</w:t>
      </w:r>
    </w:p>
    <w:p w:rsidR="00141465" w:rsidRPr="00141465" w:rsidRDefault="00141465" w:rsidP="00141465">
      <w:pPr>
        <w:spacing w:after="160" w:line="259" w:lineRule="auto"/>
        <w:ind w:left="1440"/>
        <w:contextualSpacing/>
        <w:rPr>
          <w:rFonts w:eastAsia="DengXian" w:cs="Arial"/>
          <w:sz w:val="22"/>
          <w:szCs w:val="22"/>
          <w:lang w:eastAsia="zh-CN"/>
        </w:rPr>
      </w:pPr>
    </w:p>
    <w:p w:rsidR="00141465" w:rsidRPr="00141465" w:rsidRDefault="00141465" w:rsidP="002019FB">
      <w:pPr>
        <w:numPr>
          <w:ilvl w:val="0"/>
          <w:numId w:val="15"/>
        </w:numPr>
        <w:spacing w:after="160" w:line="259" w:lineRule="auto"/>
        <w:contextualSpacing/>
        <w:rPr>
          <w:rFonts w:eastAsia="DengXian" w:cs="Arial"/>
          <w:sz w:val="22"/>
          <w:szCs w:val="22"/>
          <w:lang w:eastAsia="zh-CN"/>
        </w:rPr>
      </w:pPr>
      <w:r w:rsidRPr="00141465">
        <w:rPr>
          <w:rFonts w:eastAsia="DengXian" w:cs="Arial"/>
          <w:b/>
          <w:sz w:val="22"/>
          <w:szCs w:val="22"/>
          <w:lang w:eastAsia="zh-CN"/>
        </w:rPr>
        <w:t>regulatory pressure and / or a formal regulatory requirement</w:t>
      </w:r>
      <w:r w:rsidRPr="00141465">
        <w:rPr>
          <w:rFonts w:eastAsia="DengXian" w:cs="Arial"/>
          <w:sz w:val="22"/>
          <w:szCs w:val="22"/>
          <w:lang w:eastAsia="zh-CN"/>
        </w:rPr>
        <w:t xml:space="preserve">: government action that could encourage or formally require climate-related disclosure. As set out in the </w:t>
      </w:r>
      <w:hyperlink r:id="rId14" w:history="1">
        <w:r w:rsidRPr="00141465">
          <w:rPr>
            <w:rFonts w:eastAsia="DengXian" w:cs="Arial"/>
            <w:color w:val="0563C1"/>
            <w:sz w:val="22"/>
            <w:szCs w:val="22"/>
            <w:u w:val="single"/>
            <w:lang w:eastAsia="zh-CN"/>
          </w:rPr>
          <w:t>Inevitable Policy Response</w:t>
        </w:r>
      </w:hyperlink>
      <w:r w:rsidRPr="00141465">
        <w:rPr>
          <w:rFonts w:eastAsia="DengXian" w:cs="Arial"/>
          <w:sz w:val="22"/>
          <w:szCs w:val="22"/>
          <w:lang w:eastAsia="zh-CN"/>
        </w:rPr>
        <w:t xml:space="preserve">, the longer the delay in reducing emissions, the greater the policy jolt is likely to be. </w:t>
      </w:r>
    </w:p>
    <w:p w:rsidR="00141465" w:rsidRPr="00141465" w:rsidRDefault="00141465" w:rsidP="00141465">
      <w:pPr>
        <w:spacing w:after="160" w:line="259" w:lineRule="auto"/>
        <w:ind w:left="1440"/>
        <w:contextualSpacing/>
        <w:rPr>
          <w:rFonts w:eastAsia="DengXian" w:cs="Arial"/>
          <w:sz w:val="22"/>
          <w:szCs w:val="22"/>
          <w:lang w:eastAsia="zh-CN"/>
        </w:rPr>
      </w:pPr>
    </w:p>
    <w:p w:rsidR="00141465" w:rsidRPr="00141465" w:rsidRDefault="00141465" w:rsidP="002019FB">
      <w:pPr>
        <w:numPr>
          <w:ilvl w:val="0"/>
          <w:numId w:val="15"/>
        </w:numPr>
        <w:spacing w:after="160" w:line="259" w:lineRule="auto"/>
        <w:contextualSpacing/>
        <w:rPr>
          <w:rFonts w:eastAsia="DengXian" w:cs="Arial"/>
          <w:sz w:val="22"/>
          <w:szCs w:val="22"/>
          <w:lang w:eastAsia="zh-CN"/>
        </w:rPr>
      </w:pPr>
      <w:r w:rsidRPr="00141465">
        <w:rPr>
          <w:rFonts w:eastAsia="DengXian" w:cs="Arial"/>
          <w:b/>
          <w:sz w:val="22"/>
          <w:szCs w:val="22"/>
          <w:lang w:eastAsia="zh-CN"/>
        </w:rPr>
        <w:t>litigation risk</w:t>
      </w:r>
      <w:r w:rsidRPr="00141465">
        <w:rPr>
          <w:rFonts w:eastAsia="DengXian" w:cs="Arial"/>
          <w:sz w:val="22"/>
          <w:szCs w:val="22"/>
          <w:lang w:eastAsia="zh-CN"/>
        </w:rPr>
        <w:t xml:space="preserve">: company directors and investors may face legal liability exposure in event that they fail to manage or report material financial risks. A </w:t>
      </w:r>
      <w:hyperlink r:id="rId15" w:history="1">
        <w:r w:rsidRPr="00141465">
          <w:rPr>
            <w:rFonts w:eastAsia="DengXian" w:cs="Arial"/>
            <w:color w:val="0563C1"/>
            <w:sz w:val="22"/>
            <w:szCs w:val="22"/>
            <w:u w:val="single"/>
            <w:lang w:eastAsia="zh-CN"/>
          </w:rPr>
          <w:t>review</w:t>
        </w:r>
      </w:hyperlink>
      <w:r w:rsidRPr="00141465">
        <w:rPr>
          <w:rFonts w:eastAsia="DengXian" w:cs="Arial"/>
          <w:sz w:val="22"/>
          <w:szCs w:val="22"/>
          <w:lang w:eastAsia="zh-CN"/>
        </w:rPr>
        <w:t xml:space="preserve"> of 1,328 climate ligation cases in 28 countries, found an increase trend of claims against companies and investment funds.</w:t>
      </w:r>
    </w:p>
    <w:p w:rsidR="00141465" w:rsidRPr="00141465" w:rsidRDefault="00141465" w:rsidP="00141465">
      <w:pPr>
        <w:spacing w:after="160" w:line="259" w:lineRule="auto"/>
        <w:ind w:left="1440"/>
        <w:contextualSpacing/>
        <w:rPr>
          <w:rFonts w:eastAsia="DengXian" w:cs="Arial"/>
          <w:sz w:val="22"/>
          <w:szCs w:val="22"/>
          <w:lang w:eastAsia="zh-CN"/>
        </w:rPr>
      </w:pPr>
    </w:p>
    <w:p w:rsidR="00141465" w:rsidRPr="00141465" w:rsidRDefault="00141465" w:rsidP="002019FB">
      <w:pPr>
        <w:numPr>
          <w:ilvl w:val="0"/>
          <w:numId w:val="15"/>
        </w:numPr>
        <w:spacing w:after="160" w:line="259" w:lineRule="auto"/>
        <w:contextualSpacing/>
        <w:rPr>
          <w:rFonts w:eastAsia="DengXian" w:cs="Arial"/>
          <w:sz w:val="22"/>
          <w:szCs w:val="22"/>
          <w:lang w:eastAsia="zh-CN"/>
        </w:rPr>
      </w:pPr>
      <w:r w:rsidRPr="00141465">
        <w:rPr>
          <w:rFonts w:eastAsia="DengXian" w:cs="Arial"/>
          <w:b/>
          <w:sz w:val="22"/>
          <w:szCs w:val="22"/>
          <w:lang w:eastAsia="zh-CN"/>
        </w:rPr>
        <w:t xml:space="preserve">the changing economics of energy sector. </w:t>
      </w:r>
      <w:r w:rsidRPr="00141465">
        <w:rPr>
          <w:rFonts w:eastAsia="DengXian" w:cs="Arial"/>
          <w:sz w:val="22"/>
          <w:szCs w:val="22"/>
          <w:lang w:eastAsia="zh-CN"/>
        </w:rPr>
        <w:t xml:space="preserve">The energy transition is also market as well as policy driven. Intra-energy competition between renewables and conventional technologies like coal, gas &amp; nuclear, is changing the economics of the sector. A similar trend is also apparent in the automotive sector. and will continue, to an extent, independently of policy. See </w:t>
      </w:r>
      <w:hyperlink r:id="rId16" w:history="1">
        <w:r w:rsidRPr="00141465">
          <w:rPr>
            <w:rFonts w:eastAsia="DengXian" w:cs="Arial"/>
            <w:color w:val="0563C1"/>
            <w:sz w:val="22"/>
            <w:szCs w:val="22"/>
            <w:u w:val="single"/>
            <w:lang w:eastAsia="zh-CN"/>
          </w:rPr>
          <w:t>here</w:t>
        </w:r>
      </w:hyperlink>
      <w:r w:rsidRPr="00141465">
        <w:rPr>
          <w:rFonts w:eastAsia="DengXian" w:cs="Arial"/>
          <w:sz w:val="22"/>
          <w:szCs w:val="22"/>
          <w:lang w:eastAsia="zh-CN"/>
        </w:rPr>
        <w:t>, for an example of research on this area.</w:t>
      </w:r>
    </w:p>
    <w:p w:rsidR="00141465" w:rsidRPr="00141465" w:rsidRDefault="00141465" w:rsidP="00141465">
      <w:pPr>
        <w:spacing w:after="160" w:line="259" w:lineRule="auto"/>
        <w:ind w:left="1440"/>
        <w:contextualSpacing/>
        <w:rPr>
          <w:rFonts w:eastAsia="DengXian" w:cs="Arial"/>
          <w:sz w:val="22"/>
          <w:szCs w:val="22"/>
          <w:lang w:eastAsia="zh-CN"/>
        </w:rPr>
      </w:pPr>
    </w:p>
    <w:p w:rsidR="00141465" w:rsidRPr="00141465" w:rsidRDefault="00141465" w:rsidP="002019FB">
      <w:pPr>
        <w:numPr>
          <w:ilvl w:val="0"/>
          <w:numId w:val="15"/>
        </w:numPr>
        <w:spacing w:after="160" w:line="259" w:lineRule="auto"/>
        <w:contextualSpacing/>
        <w:rPr>
          <w:rFonts w:eastAsia="DengXian" w:cs="Arial"/>
          <w:sz w:val="22"/>
          <w:szCs w:val="22"/>
          <w:lang w:eastAsia="zh-CN"/>
        </w:rPr>
      </w:pPr>
      <w:r w:rsidRPr="00141465">
        <w:rPr>
          <w:rFonts w:eastAsia="DengXian" w:cs="Arial"/>
          <w:b/>
          <w:sz w:val="22"/>
          <w:szCs w:val="22"/>
          <w:lang w:eastAsia="zh-CN"/>
        </w:rPr>
        <w:t>exposure of portfolios to physical damages from climate change</w:t>
      </w:r>
      <w:r w:rsidRPr="00141465">
        <w:rPr>
          <w:rFonts w:eastAsia="DengXian" w:cs="Arial"/>
          <w:sz w:val="22"/>
          <w:szCs w:val="22"/>
          <w:lang w:eastAsia="zh-CN"/>
        </w:rPr>
        <w:t xml:space="preserve">. In the near term, climate change is changing the </w:t>
      </w:r>
      <w:proofErr w:type="gramStart"/>
      <w:r w:rsidRPr="00141465">
        <w:rPr>
          <w:rFonts w:eastAsia="DengXian" w:cs="Arial"/>
          <w:sz w:val="22"/>
          <w:szCs w:val="22"/>
          <w:lang w:eastAsia="zh-CN"/>
        </w:rPr>
        <w:t>odds on</w:t>
      </w:r>
      <w:proofErr w:type="gramEnd"/>
      <w:r w:rsidRPr="00141465">
        <w:rPr>
          <w:rFonts w:eastAsia="DengXian" w:cs="Arial"/>
          <w:sz w:val="22"/>
          <w:szCs w:val="22"/>
          <w:lang w:eastAsia="zh-CN"/>
        </w:rPr>
        <w:t xml:space="preserve"> extreme weather, which could disrupt trade, damages real estate assets and infrastructure. As well as these events, investors also face risk from climate trend sea level risk, drought, spread of pathogens and the non-linear rate of climatic change that would be irreversible on human timescales.  These risks, including the limits to adaptation, have been documented </w:t>
      </w:r>
      <w:hyperlink r:id="rId17" w:history="1">
        <w:r w:rsidRPr="00141465">
          <w:rPr>
            <w:rFonts w:eastAsia="DengXian" w:cs="Arial"/>
            <w:color w:val="0563C1"/>
            <w:sz w:val="22"/>
            <w:szCs w:val="22"/>
            <w:u w:val="single"/>
            <w:lang w:eastAsia="zh-CN"/>
          </w:rPr>
          <w:t>here</w:t>
        </w:r>
      </w:hyperlink>
      <w:r w:rsidRPr="00141465">
        <w:rPr>
          <w:rFonts w:eastAsia="DengXian" w:cs="Arial"/>
          <w:sz w:val="22"/>
          <w:szCs w:val="22"/>
          <w:lang w:eastAsia="zh-CN"/>
        </w:rPr>
        <w:t xml:space="preserve">. </w:t>
      </w:r>
    </w:p>
    <w:p w:rsidR="00141465" w:rsidRPr="00141465" w:rsidRDefault="00141465" w:rsidP="00141465">
      <w:pPr>
        <w:spacing w:after="160" w:line="259" w:lineRule="auto"/>
        <w:rPr>
          <w:rFonts w:eastAsia="DengXian" w:cs="Arial"/>
          <w:sz w:val="22"/>
          <w:szCs w:val="22"/>
          <w:lang w:eastAsia="zh-CN"/>
        </w:rPr>
      </w:pPr>
    </w:p>
    <w:p w:rsidR="00141465" w:rsidRPr="00141465" w:rsidRDefault="00141465" w:rsidP="00141465">
      <w:pPr>
        <w:spacing w:after="160" w:line="259" w:lineRule="auto"/>
        <w:rPr>
          <w:rFonts w:eastAsia="DengXian" w:cs="Arial"/>
          <w:sz w:val="22"/>
          <w:szCs w:val="22"/>
          <w:lang w:eastAsia="zh-CN"/>
        </w:rPr>
      </w:pPr>
      <w:r w:rsidRPr="00141465">
        <w:rPr>
          <w:rFonts w:eastAsia="DengXian" w:cs="Arial"/>
          <w:sz w:val="22"/>
          <w:szCs w:val="22"/>
          <w:lang w:eastAsia="zh-CN"/>
        </w:rPr>
        <w:t>The benefits of the TCFD are therefore as a common and flexible framework that can help investors assess, monitor and manage climate-related risks and better position themselves for new market opportunities</w:t>
      </w:r>
    </w:p>
    <w:p w:rsidR="00141465" w:rsidRPr="00141465" w:rsidRDefault="00141465" w:rsidP="00141465">
      <w:pPr>
        <w:spacing w:after="160" w:line="259" w:lineRule="auto"/>
        <w:rPr>
          <w:rFonts w:eastAsia="DengXian" w:cs="Arial"/>
          <w:sz w:val="22"/>
          <w:szCs w:val="22"/>
          <w:lang w:eastAsia="zh-CN"/>
        </w:rPr>
      </w:pPr>
    </w:p>
    <w:p w:rsidR="00141465" w:rsidRPr="00141465" w:rsidRDefault="00141465">
      <w:pPr>
        <w:ind w:left="357" w:hanging="357"/>
        <w:rPr>
          <w:rFonts w:eastAsia="DengXian" w:cs="Arial"/>
          <w:b/>
          <w:sz w:val="22"/>
          <w:szCs w:val="22"/>
          <w:lang w:eastAsia="zh-CN"/>
        </w:rPr>
      </w:pPr>
      <w:r w:rsidRPr="00141465">
        <w:rPr>
          <w:rFonts w:eastAsia="DengXian" w:cs="Arial"/>
          <w:b/>
          <w:sz w:val="22"/>
          <w:szCs w:val="22"/>
          <w:lang w:eastAsia="zh-CN"/>
        </w:rPr>
        <w:br w:type="page"/>
      </w:r>
    </w:p>
    <w:p w:rsidR="00141465" w:rsidRPr="00141465" w:rsidRDefault="00141465" w:rsidP="00141465">
      <w:pPr>
        <w:spacing w:after="160" w:line="259" w:lineRule="auto"/>
        <w:rPr>
          <w:rFonts w:eastAsia="DengXian" w:cs="Arial"/>
          <w:b/>
          <w:sz w:val="22"/>
          <w:szCs w:val="22"/>
          <w:lang w:eastAsia="zh-CN"/>
        </w:rPr>
      </w:pPr>
      <w:r w:rsidRPr="00141465">
        <w:rPr>
          <w:rFonts w:eastAsia="DengXian" w:cs="Arial"/>
          <w:b/>
          <w:sz w:val="22"/>
          <w:szCs w:val="22"/>
          <w:lang w:eastAsia="zh-CN"/>
        </w:rPr>
        <w:lastRenderedPageBreak/>
        <w:t>Q5. How can I get started?</w:t>
      </w:r>
    </w:p>
    <w:p w:rsidR="00141465" w:rsidRPr="00141465" w:rsidRDefault="00141465" w:rsidP="00141465">
      <w:pPr>
        <w:spacing w:after="160" w:line="259" w:lineRule="auto"/>
        <w:rPr>
          <w:rFonts w:eastAsia="DengXian" w:cs="Arial"/>
          <w:sz w:val="22"/>
          <w:szCs w:val="22"/>
          <w:lang w:eastAsia="zh-CN"/>
        </w:rPr>
      </w:pPr>
      <w:r w:rsidRPr="00141465">
        <w:rPr>
          <w:rFonts w:eastAsia="DengXian" w:cs="Arial"/>
          <w:sz w:val="22"/>
          <w:szCs w:val="22"/>
          <w:lang w:eastAsia="zh-CN"/>
        </w:rPr>
        <w:t>There is unlikely to be any one single way to answer this question, as it relates to how firms are organised and how they undertake investment practice. But image below provides an indicative four step approach that investors could take in investigating and implementing TCFD, which could also be of relevance for the PRI climate indicators</w:t>
      </w:r>
    </w:p>
    <w:p w:rsidR="00141465" w:rsidRPr="00141465" w:rsidRDefault="00141465" w:rsidP="00141465">
      <w:pPr>
        <w:spacing w:after="160" w:line="259" w:lineRule="auto"/>
        <w:rPr>
          <w:rFonts w:eastAsia="DengXian" w:cs="Arial"/>
          <w:sz w:val="22"/>
          <w:szCs w:val="22"/>
          <w:lang w:eastAsia="zh-CN"/>
        </w:rPr>
      </w:pPr>
    </w:p>
    <w:p w:rsidR="00141465" w:rsidRPr="00141465" w:rsidRDefault="00141465" w:rsidP="00141465">
      <w:pPr>
        <w:spacing w:after="160" w:line="259" w:lineRule="auto"/>
        <w:rPr>
          <w:rFonts w:eastAsia="DengXian" w:cs="Arial"/>
          <w:b/>
          <w:sz w:val="22"/>
          <w:szCs w:val="22"/>
          <w:lang w:eastAsia="zh-CN"/>
        </w:rPr>
      </w:pPr>
      <w:r w:rsidRPr="00141465">
        <w:rPr>
          <w:rFonts w:eastAsia="DengXian" w:cs="Arial"/>
          <w:b/>
          <w:sz w:val="22"/>
          <w:szCs w:val="22"/>
          <w:lang w:eastAsia="zh-CN"/>
        </w:rPr>
        <w:t>Four step approach to implementing TCFD</w:t>
      </w:r>
    </w:p>
    <w:p w:rsidR="00141465" w:rsidRPr="00141465" w:rsidRDefault="00141465" w:rsidP="00141465">
      <w:pPr>
        <w:spacing w:after="160" w:line="259" w:lineRule="auto"/>
        <w:rPr>
          <w:rFonts w:eastAsia="DengXian" w:cs="Arial"/>
          <w:sz w:val="22"/>
          <w:szCs w:val="22"/>
          <w:lang w:eastAsia="zh-CN"/>
        </w:rPr>
      </w:pPr>
      <w:r w:rsidRPr="00141465">
        <w:rPr>
          <w:rFonts w:eastAsia="DengXian" w:cs="Arial"/>
          <w:noProof/>
          <w:sz w:val="22"/>
          <w:szCs w:val="22"/>
          <w:lang w:eastAsia="zh-CN"/>
        </w:rPr>
        <w:drawing>
          <wp:inline distT="0" distB="0" distL="0" distR="0" wp14:anchorId="5123A3AA" wp14:editId="5F4A843A">
            <wp:extent cx="5958976" cy="3543300"/>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1115" cy="3544572"/>
                    </a:xfrm>
                    <a:prstGeom prst="rect">
                      <a:avLst/>
                    </a:prstGeom>
                    <a:noFill/>
                    <a:ln>
                      <a:noFill/>
                    </a:ln>
                  </pic:spPr>
                </pic:pic>
              </a:graphicData>
            </a:graphic>
          </wp:inline>
        </w:drawing>
      </w:r>
    </w:p>
    <w:p w:rsidR="00141465" w:rsidRPr="00141465" w:rsidRDefault="00141465" w:rsidP="00141465">
      <w:pPr>
        <w:spacing w:after="160" w:line="259" w:lineRule="auto"/>
        <w:rPr>
          <w:rFonts w:eastAsia="DengXian" w:cs="Arial"/>
          <w:sz w:val="22"/>
          <w:szCs w:val="22"/>
          <w:lang w:eastAsia="zh-CN"/>
        </w:rPr>
      </w:pPr>
      <w:r w:rsidRPr="00141465">
        <w:rPr>
          <w:rFonts w:eastAsia="DengXian" w:cs="Arial"/>
          <w:sz w:val="22"/>
          <w:szCs w:val="22"/>
          <w:lang w:eastAsia="zh-CN"/>
        </w:rPr>
        <w:t xml:space="preserve">In addition, organisations may start with reviewing their existing approach to climate change and, from the financial filings, the extent of their investments are in energy intensive sectors.  Free-to-use of the shelf climate scenario tools may assist with this analysis. Developing familiarity with the Taskforce’s recommendations and investigating the work of peers is also suggested at this stage. The chart below provides an overview of free-to-use tools that are available for assessing climate transition </w:t>
      </w:r>
      <w:proofErr w:type="gramStart"/>
      <w:r w:rsidRPr="00141465">
        <w:rPr>
          <w:rFonts w:eastAsia="DengXian" w:cs="Arial"/>
          <w:sz w:val="22"/>
          <w:szCs w:val="22"/>
          <w:lang w:eastAsia="zh-CN"/>
        </w:rPr>
        <w:t>risk..</w:t>
      </w:r>
      <w:proofErr w:type="gramEnd"/>
      <w:r w:rsidRPr="00141465">
        <w:rPr>
          <w:rFonts w:eastAsia="DengXian" w:cs="Arial"/>
          <w:sz w:val="22"/>
          <w:szCs w:val="22"/>
          <w:lang w:eastAsia="zh-CN"/>
        </w:rPr>
        <w:t xml:space="preserve"> In distinguishing between them, investor could look at the functionality of outputs that these tools provide, such as:</w:t>
      </w:r>
    </w:p>
    <w:p w:rsidR="00141465" w:rsidRPr="00141465" w:rsidRDefault="00141465" w:rsidP="002019FB">
      <w:pPr>
        <w:numPr>
          <w:ilvl w:val="0"/>
          <w:numId w:val="16"/>
        </w:numPr>
        <w:spacing w:after="160" w:line="259" w:lineRule="auto"/>
        <w:contextualSpacing/>
        <w:rPr>
          <w:rFonts w:eastAsia="DengXian" w:cs="Arial"/>
          <w:sz w:val="22"/>
          <w:szCs w:val="22"/>
          <w:lang w:eastAsia="zh-CN"/>
        </w:rPr>
      </w:pPr>
      <w:r w:rsidRPr="00141465">
        <w:rPr>
          <w:rFonts w:eastAsia="DengXian" w:cs="Arial"/>
          <w:b/>
          <w:sz w:val="22"/>
          <w:szCs w:val="22"/>
          <w:lang w:eastAsia="zh-CN"/>
        </w:rPr>
        <w:t>Alignment test</w:t>
      </w:r>
      <w:r w:rsidRPr="00141465">
        <w:rPr>
          <w:rFonts w:eastAsia="DengXian" w:cs="Arial"/>
          <w:sz w:val="22"/>
          <w:szCs w:val="22"/>
          <w:lang w:eastAsia="zh-CN"/>
        </w:rPr>
        <w:t xml:space="preserve"> on the degree to which the portfolio meets or overshoots climate goals</w:t>
      </w:r>
    </w:p>
    <w:p w:rsidR="00141465" w:rsidRPr="00141465" w:rsidRDefault="00141465" w:rsidP="002019FB">
      <w:pPr>
        <w:numPr>
          <w:ilvl w:val="0"/>
          <w:numId w:val="16"/>
        </w:numPr>
        <w:spacing w:after="160" w:line="259" w:lineRule="auto"/>
        <w:contextualSpacing/>
        <w:rPr>
          <w:rFonts w:eastAsia="DengXian" w:cs="Arial"/>
          <w:sz w:val="22"/>
          <w:szCs w:val="22"/>
          <w:lang w:eastAsia="zh-CN"/>
        </w:rPr>
      </w:pPr>
      <w:r w:rsidRPr="00141465">
        <w:rPr>
          <w:rFonts w:eastAsia="DengXian" w:cs="Arial"/>
          <w:b/>
          <w:sz w:val="22"/>
          <w:szCs w:val="22"/>
          <w:lang w:eastAsia="zh-CN"/>
        </w:rPr>
        <w:t>Company information</w:t>
      </w:r>
      <w:r w:rsidRPr="00141465">
        <w:rPr>
          <w:rFonts w:eastAsia="DengXian" w:cs="Arial"/>
          <w:sz w:val="22"/>
          <w:szCs w:val="22"/>
          <w:lang w:eastAsia="zh-CN"/>
        </w:rPr>
        <w:t xml:space="preserve"> which could be used in corporate engagement</w:t>
      </w:r>
    </w:p>
    <w:p w:rsidR="00141465" w:rsidRPr="00141465" w:rsidRDefault="00141465" w:rsidP="002019FB">
      <w:pPr>
        <w:numPr>
          <w:ilvl w:val="0"/>
          <w:numId w:val="16"/>
        </w:numPr>
        <w:spacing w:after="160" w:line="259" w:lineRule="auto"/>
        <w:contextualSpacing/>
        <w:rPr>
          <w:rFonts w:eastAsia="DengXian" w:cs="Arial"/>
          <w:sz w:val="22"/>
          <w:szCs w:val="22"/>
          <w:lang w:eastAsia="zh-CN"/>
        </w:rPr>
      </w:pPr>
      <w:r w:rsidRPr="00141465">
        <w:rPr>
          <w:rFonts w:eastAsia="DengXian" w:cs="Arial"/>
          <w:b/>
          <w:sz w:val="22"/>
          <w:szCs w:val="22"/>
          <w:lang w:eastAsia="zh-CN"/>
        </w:rPr>
        <w:t xml:space="preserve">Financial analysis </w:t>
      </w:r>
      <w:r w:rsidRPr="00141465">
        <w:rPr>
          <w:rFonts w:eastAsia="DengXian" w:cs="Arial"/>
          <w:sz w:val="22"/>
          <w:szCs w:val="22"/>
          <w:lang w:eastAsia="zh-CN"/>
        </w:rPr>
        <w:t xml:space="preserve">of the value in portfolios that could be at risk </w:t>
      </w:r>
    </w:p>
    <w:p w:rsidR="00141465" w:rsidRPr="00141465" w:rsidRDefault="00141465" w:rsidP="00141465">
      <w:pPr>
        <w:spacing w:after="160" w:line="259" w:lineRule="auto"/>
        <w:rPr>
          <w:rFonts w:eastAsia="DengXian" w:cs="Arial"/>
          <w:sz w:val="22"/>
          <w:szCs w:val="22"/>
          <w:lang w:eastAsia="zh-CN"/>
        </w:rPr>
      </w:pPr>
      <w:r w:rsidRPr="00141465">
        <w:rPr>
          <w:rFonts w:eastAsia="DengXian" w:cs="Arial"/>
          <w:sz w:val="22"/>
          <w:szCs w:val="22"/>
          <w:lang w:eastAsia="zh-CN"/>
        </w:rPr>
        <w:t xml:space="preserve">Other factors include the coverage of asset classes and whether the tool is primarily for portfolio screening or sector level analysis. </w:t>
      </w:r>
    </w:p>
    <w:p w:rsidR="00141465" w:rsidRPr="00141465" w:rsidRDefault="00141465" w:rsidP="00141465">
      <w:pPr>
        <w:spacing w:after="160" w:line="259" w:lineRule="auto"/>
        <w:rPr>
          <w:rFonts w:eastAsia="DengXian" w:cs="Arial"/>
          <w:b/>
          <w:sz w:val="22"/>
          <w:szCs w:val="22"/>
          <w:lang w:eastAsia="zh-CN"/>
        </w:rPr>
      </w:pPr>
      <w:r w:rsidRPr="00141465">
        <w:rPr>
          <w:rFonts w:eastAsia="DengXian" w:cs="Arial"/>
          <w:b/>
          <w:sz w:val="22"/>
          <w:szCs w:val="22"/>
          <w:lang w:eastAsia="zh-CN"/>
        </w:rPr>
        <w:br w:type="page"/>
      </w:r>
    </w:p>
    <w:p w:rsidR="00141465" w:rsidRPr="00141465" w:rsidRDefault="00141465" w:rsidP="00141465">
      <w:pPr>
        <w:spacing w:after="160" w:line="259" w:lineRule="auto"/>
        <w:rPr>
          <w:rFonts w:eastAsia="DengXian" w:cs="Arial"/>
          <w:b/>
          <w:sz w:val="22"/>
          <w:szCs w:val="22"/>
          <w:lang w:eastAsia="zh-CN"/>
        </w:rPr>
      </w:pPr>
      <w:r w:rsidRPr="00141465">
        <w:rPr>
          <w:rFonts w:eastAsia="DengXian" w:cs="Arial"/>
          <w:b/>
          <w:sz w:val="22"/>
          <w:szCs w:val="22"/>
          <w:lang w:eastAsia="zh-CN"/>
        </w:rPr>
        <w:lastRenderedPageBreak/>
        <w:t>Overview of free-to-use tools for assessing climate transition risks</w:t>
      </w:r>
    </w:p>
    <w:tbl>
      <w:tblPr>
        <w:tblStyle w:val="TableGrid1"/>
        <w:tblW w:w="0" w:type="auto"/>
        <w:tblLook w:val="04A0" w:firstRow="1" w:lastRow="0" w:firstColumn="1" w:lastColumn="0" w:noHBand="0" w:noVBand="1"/>
      </w:tblPr>
      <w:tblGrid>
        <w:gridCol w:w="1598"/>
        <w:gridCol w:w="1674"/>
        <w:gridCol w:w="1671"/>
        <w:gridCol w:w="2075"/>
        <w:gridCol w:w="1640"/>
      </w:tblGrid>
      <w:tr w:rsidR="00141465" w:rsidRPr="00141465" w:rsidTr="004C55B4">
        <w:tc>
          <w:tcPr>
            <w:tcW w:w="1803" w:type="dxa"/>
            <w:shd w:val="clear" w:color="auto" w:fill="0070C0"/>
          </w:tcPr>
          <w:p w:rsidR="00141465" w:rsidRPr="00141465" w:rsidRDefault="00141465" w:rsidP="00141465">
            <w:pPr>
              <w:rPr>
                <w:rFonts w:ascii="Arial" w:hAnsi="Arial" w:cs="Arial"/>
                <w:b/>
                <w:color w:val="FFFFFF" w:themeColor="background1"/>
              </w:rPr>
            </w:pPr>
            <w:r w:rsidRPr="00141465">
              <w:rPr>
                <w:rFonts w:ascii="Arial" w:hAnsi="Arial" w:cs="Arial"/>
                <w:b/>
                <w:color w:val="FFFFFF" w:themeColor="background1"/>
              </w:rPr>
              <w:t>Name</w:t>
            </w:r>
          </w:p>
        </w:tc>
        <w:tc>
          <w:tcPr>
            <w:tcW w:w="1803" w:type="dxa"/>
            <w:shd w:val="clear" w:color="auto" w:fill="0070C0"/>
          </w:tcPr>
          <w:p w:rsidR="00141465" w:rsidRPr="00141465" w:rsidRDefault="00141465" w:rsidP="00141465">
            <w:pPr>
              <w:rPr>
                <w:rFonts w:ascii="Arial" w:hAnsi="Arial" w:cs="Arial"/>
                <w:b/>
                <w:color w:val="FFFFFF" w:themeColor="background1"/>
              </w:rPr>
            </w:pPr>
            <w:r w:rsidRPr="00141465">
              <w:rPr>
                <w:rFonts w:ascii="Arial" w:hAnsi="Arial" w:cs="Arial"/>
                <w:b/>
                <w:color w:val="FFFFFF" w:themeColor="background1"/>
              </w:rPr>
              <w:t>Asset classes</w:t>
            </w:r>
          </w:p>
        </w:tc>
        <w:tc>
          <w:tcPr>
            <w:tcW w:w="1803" w:type="dxa"/>
            <w:shd w:val="clear" w:color="auto" w:fill="0070C0"/>
          </w:tcPr>
          <w:p w:rsidR="00141465" w:rsidRPr="00141465" w:rsidRDefault="00141465" w:rsidP="00141465">
            <w:pPr>
              <w:rPr>
                <w:rFonts w:ascii="Arial" w:hAnsi="Arial" w:cs="Arial"/>
                <w:b/>
                <w:color w:val="FFFFFF" w:themeColor="background1"/>
              </w:rPr>
            </w:pPr>
            <w:r w:rsidRPr="00141465">
              <w:rPr>
                <w:rFonts w:ascii="Arial" w:hAnsi="Arial" w:cs="Arial"/>
                <w:b/>
                <w:color w:val="FFFFFF" w:themeColor="background1"/>
              </w:rPr>
              <w:t>Alignment test</w:t>
            </w:r>
          </w:p>
        </w:tc>
        <w:tc>
          <w:tcPr>
            <w:tcW w:w="1803" w:type="dxa"/>
            <w:shd w:val="clear" w:color="auto" w:fill="0070C0"/>
          </w:tcPr>
          <w:p w:rsidR="00141465" w:rsidRPr="00141465" w:rsidRDefault="00141465" w:rsidP="00141465">
            <w:pPr>
              <w:rPr>
                <w:rFonts w:ascii="Arial" w:hAnsi="Arial" w:cs="Arial"/>
                <w:b/>
                <w:color w:val="FFFFFF" w:themeColor="background1"/>
              </w:rPr>
            </w:pPr>
            <w:r w:rsidRPr="00141465">
              <w:rPr>
                <w:rFonts w:ascii="Arial" w:hAnsi="Arial" w:cs="Arial"/>
                <w:b/>
                <w:color w:val="FFFFFF" w:themeColor="background1"/>
              </w:rPr>
              <w:t>Company engagement</w:t>
            </w:r>
          </w:p>
        </w:tc>
        <w:tc>
          <w:tcPr>
            <w:tcW w:w="1804" w:type="dxa"/>
            <w:shd w:val="clear" w:color="auto" w:fill="0070C0"/>
          </w:tcPr>
          <w:p w:rsidR="00141465" w:rsidRPr="00141465" w:rsidRDefault="00141465" w:rsidP="00141465">
            <w:pPr>
              <w:rPr>
                <w:rFonts w:ascii="Arial" w:hAnsi="Arial" w:cs="Arial"/>
                <w:b/>
                <w:color w:val="FFFFFF" w:themeColor="background1"/>
              </w:rPr>
            </w:pPr>
            <w:r w:rsidRPr="00141465">
              <w:rPr>
                <w:rFonts w:ascii="Arial" w:hAnsi="Arial" w:cs="Arial"/>
                <w:b/>
                <w:color w:val="FFFFFF" w:themeColor="background1"/>
              </w:rPr>
              <w:t>Financial analysis</w:t>
            </w:r>
          </w:p>
        </w:tc>
      </w:tr>
      <w:tr w:rsidR="00141465" w:rsidRPr="00141465" w:rsidTr="00141465">
        <w:tc>
          <w:tcPr>
            <w:tcW w:w="9016" w:type="dxa"/>
            <w:gridSpan w:val="5"/>
            <w:shd w:val="clear" w:color="auto" w:fill="BDD6EE"/>
          </w:tcPr>
          <w:p w:rsidR="00141465" w:rsidRPr="00141465" w:rsidRDefault="00141465" w:rsidP="00141465">
            <w:pPr>
              <w:rPr>
                <w:rFonts w:ascii="Arial" w:hAnsi="Arial" w:cs="Arial"/>
              </w:rPr>
            </w:pPr>
            <w:r w:rsidRPr="00141465">
              <w:rPr>
                <w:rFonts w:ascii="Arial" w:hAnsi="Arial" w:cs="Arial"/>
                <w:color w:val="000000"/>
              </w:rPr>
              <w:t>Portfolio screening tools</w:t>
            </w:r>
          </w:p>
        </w:tc>
      </w:tr>
      <w:tr w:rsidR="00141465" w:rsidRPr="00141465" w:rsidTr="00141465">
        <w:tc>
          <w:tcPr>
            <w:tcW w:w="1803" w:type="dxa"/>
          </w:tcPr>
          <w:p w:rsidR="00141465" w:rsidRPr="00141465" w:rsidRDefault="00141465" w:rsidP="00141465">
            <w:pPr>
              <w:rPr>
                <w:rFonts w:ascii="Arial" w:hAnsi="Arial" w:cs="Arial"/>
              </w:rPr>
            </w:pPr>
            <w:hyperlink r:id="rId19" w:history="1">
              <w:r w:rsidRPr="00141465">
                <w:rPr>
                  <w:rFonts w:ascii="Arial" w:hAnsi="Arial" w:cs="Arial"/>
                  <w:color w:val="0563C1"/>
                  <w:u w:val="single"/>
                </w:rPr>
                <w:t>PACTA</w:t>
              </w:r>
            </w:hyperlink>
          </w:p>
        </w:tc>
        <w:tc>
          <w:tcPr>
            <w:tcW w:w="1803" w:type="dxa"/>
          </w:tcPr>
          <w:p w:rsidR="00141465" w:rsidRPr="00141465" w:rsidRDefault="00141465" w:rsidP="00141465">
            <w:pPr>
              <w:rPr>
                <w:rFonts w:ascii="Arial" w:hAnsi="Arial" w:cs="Arial"/>
              </w:rPr>
            </w:pPr>
            <w:r w:rsidRPr="00141465">
              <w:rPr>
                <w:rFonts w:ascii="Arial" w:hAnsi="Arial" w:cs="Arial"/>
              </w:rPr>
              <w:t>Equities, corporate bonds</w:t>
            </w:r>
          </w:p>
        </w:tc>
        <w:tc>
          <w:tcPr>
            <w:tcW w:w="1803" w:type="dxa"/>
            <w:shd w:val="clear" w:color="auto" w:fill="70AD47"/>
          </w:tcPr>
          <w:p w:rsidR="00141465" w:rsidRPr="00141465" w:rsidRDefault="00141465" w:rsidP="00141465">
            <w:pPr>
              <w:rPr>
                <w:rFonts w:ascii="Arial" w:hAnsi="Arial" w:cs="Arial"/>
              </w:rPr>
            </w:pPr>
          </w:p>
        </w:tc>
        <w:tc>
          <w:tcPr>
            <w:tcW w:w="1803" w:type="dxa"/>
            <w:shd w:val="clear" w:color="auto" w:fill="FFC000"/>
          </w:tcPr>
          <w:p w:rsidR="00141465" w:rsidRPr="00141465" w:rsidRDefault="00141465" w:rsidP="00141465">
            <w:pPr>
              <w:rPr>
                <w:rFonts w:ascii="Arial" w:hAnsi="Arial" w:cs="Arial"/>
              </w:rPr>
            </w:pPr>
            <w:r w:rsidRPr="00141465">
              <w:rPr>
                <w:rFonts w:ascii="Arial" w:hAnsi="Arial" w:cs="Arial"/>
              </w:rPr>
              <w:t>Underdevelopment</w:t>
            </w:r>
          </w:p>
        </w:tc>
        <w:tc>
          <w:tcPr>
            <w:tcW w:w="1804" w:type="dxa"/>
            <w:shd w:val="clear" w:color="auto" w:fill="FF0000"/>
          </w:tcPr>
          <w:p w:rsidR="00141465" w:rsidRPr="00141465" w:rsidRDefault="00141465" w:rsidP="00141465">
            <w:pPr>
              <w:rPr>
                <w:rFonts w:ascii="Arial" w:hAnsi="Arial" w:cs="Arial"/>
              </w:rPr>
            </w:pPr>
          </w:p>
        </w:tc>
      </w:tr>
      <w:tr w:rsidR="00141465" w:rsidRPr="00141465" w:rsidTr="00141465">
        <w:tc>
          <w:tcPr>
            <w:tcW w:w="1803" w:type="dxa"/>
          </w:tcPr>
          <w:p w:rsidR="00141465" w:rsidRPr="00141465" w:rsidRDefault="00141465" w:rsidP="00141465">
            <w:pPr>
              <w:rPr>
                <w:rFonts w:ascii="Arial" w:hAnsi="Arial" w:cs="Arial"/>
              </w:rPr>
            </w:pPr>
            <w:hyperlink r:id="rId20" w:history="1">
              <w:r w:rsidRPr="00141465">
                <w:rPr>
                  <w:rFonts w:ascii="Arial" w:hAnsi="Arial" w:cs="Arial"/>
                  <w:color w:val="0563C1"/>
                  <w:u w:val="single"/>
                </w:rPr>
                <w:t>IPR</w:t>
              </w:r>
            </w:hyperlink>
          </w:p>
        </w:tc>
        <w:tc>
          <w:tcPr>
            <w:tcW w:w="1803" w:type="dxa"/>
          </w:tcPr>
          <w:p w:rsidR="00141465" w:rsidRPr="00141465" w:rsidRDefault="00141465" w:rsidP="00141465">
            <w:pPr>
              <w:rPr>
                <w:rFonts w:ascii="Arial" w:hAnsi="Arial" w:cs="Arial"/>
              </w:rPr>
            </w:pPr>
            <w:r w:rsidRPr="00141465">
              <w:rPr>
                <w:rFonts w:ascii="Arial" w:hAnsi="Arial" w:cs="Arial"/>
              </w:rPr>
              <w:t>Equities, corporate bonds</w:t>
            </w:r>
          </w:p>
        </w:tc>
        <w:tc>
          <w:tcPr>
            <w:tcW w:w="1803" w:type="dxa"/>
            <w:shd w:val="clear" w:color="auto" w:fill="FFC000"/>
          </w:tcPr>
          <w:p w:rsidR="00141465" w:rsidRPr="00141465" w:rsidRDefault="00141465" w:rsidP="00141465">
            <w:pPr>
              <w:rPr>
                <w:rFonts w:ascii="Arial" w:hAnsi="Arial" w:cs="Arial"/>
              </w:rPr>
            </w:pPr>
          </w:p>
        </w:tc>
        <w:tc>
          <w:tcPr>
            <w:tcW w:w="1803" w:type="dxa"/>
            <w:shd w:val="clear" w:color="auto" w:fill="FFC000"/>
          </w:tcPr>
          <w:p w:rsidR="00141465" w:rsidRPr="00141465" w:rsidRDefault="00141465" w:rsidP="00141465">
            <w:pPr>
              <w:rPr>
                <w:rFonts w:ascii="Arial" w:hAnsi="Arial" w:cs="Arial"/>
              </w:rPr>
            </w:pPr>
          </w:p>
        </w:tc>
        <w:tc>
          <w:tcPr>
            <w:tcW w:w="1804" w:type="dxa"/>
            <w:shd w:val="clear" w:color="auto" w:fill="70AD47"/>
          </w:tcPr>
          <w:p w:rsidR="00141465" w:rsidRPr="00141465" w:rsidRDefault="00141465" w:rsidP="00141465">
            <w:pPr>
              <w:rPr>
                <w:rFonts w:ascii="Arial" w:hAnsi="Arial" w:cs="Arial"/>
              </w:rPr>
            </w:pPr>
          </w:p>
        </w:tc>
      </w:tr>
      <w:tr w:rsidR="00141465" w:rsidRPr="00141465" w:rsidTr="00141465">
        <w:tc>
          <w:tcPr>
            <w:tcW w:w="9016" w:type="dxa"/>
            <w:gridSpan w:val="5"/>
            <w:shd w:val="clear" w:color="auto" w:fill="BDD6EE"/>
          </w:tcPr>
          <w:p w:rsidR="00141465" w:rsidRPr="00141465" w:rsidRDefault="00141465" w:rsidP="00141465">
            <w:pPr>
              <w:rPr>
                <w:rFonts w:ascii="Arial" w:hAnsi="Arial" w:cs="Arial"/>
              </w:rPr>
            </w:pPr>
            <w:r w:rsidRPr="00141465">
              <w:rPr>
                <w:rFonts w:ascii="Arial" w:hAnsi="Arial" w:cs="Arial"/>
                <w:color w:val="000000"/>
              </w:rPr>
              <w:t>Sector / company engagement tools</w:t>
            </w:r>
          </w:p>
        </w:tc>
      </w:tr>
      <w:tr w:rsidR="00141465" w:rsidRPr="00141465" w:rsidTr="00141465">
        <w:trPr>
          <w:trHeight w:val="444"/>
        </w:trPr>
        <w:tc>
          <w:tcPr>
            <w:tcW w:w="1803" w:type="dxa"/>
          </w:tcPr>
          <w:p w:rsidR="00141465" w:rsidRPr="00141465" w:rsidRDefault="00141465" w:rsidP="00141465">
            <w:pPr>
              <w:rPr>
                <w:rFonts w:ascii="Arial" w:hAnsi="Arial" w:cs="Arial"/>
              </w:rPr>
            </w:pPr>
            <w:hyperlink r:id="rId21" w:history="1">
              <w:r w:rsidRPr="00141465">
                <w:rPr>
                  <w:rFonts w:ascii="Arial" w:hAnsi="Arial" w:cs="Arial"/>
                  <w:color w:val="0563C1"/>
                  <w:u w:val="single"/>
                </w:rPr>
                <w:t>TPI</w:t>
              </w:r>
            </w:hyperlink>
          </w:p>
        </w:tc>
        <w:tc>
          <w:tcPr>
            <w:tcW w:w="1803" w:type="dxa"/>
          </w:tcPr>
          <w:p w:rsidR="00141465" w:rsidRPr="00141465" w:rsidRDefault="00141465" w:rsidP="00141465">
            <w:pPr>
              <w:rPr>
                <w:rFonts w:ascii="Arial" w:hAnsi="Arial" w:cs="Arial"/>
              </w:rPr>
            </w:pPr>
            <w:r w:rsidRPr="00141465">
              <w:rPr>
                <w:rFonts w:ascii="Arial" w:hAnsi="Arial" w:cs="Arial"/>
              </w:rPr>
              <w:t>Equities</w:t>
            </w:r>
          </w:p>
        </w:tc>
        <w:tc>
          <w:tcPr>
            <w:tcW w:w="1803" w:type="dxa"/>
            <w:shd w:val="clear" w:color="auto" w:fill="70AD47"/>
          </w:tcPr>
          <w:p w:rsidR="00141465" w:rsidRPr="00141465" w:rsidRDefault="00141465" w:rsidP="00141465">
            <w:pPr>
              <w:rPr>
                <w:rFonts w:ascii="Arial" w:hAnsi="Arial" w:cs="Arial"/>
              </w:rPr>
            </w:pPr>
          </w:p>
        </w:tc>
        <w:tc>
          <w:tcPr>
            <w:tcW w:w="1803" w:type="dxa"/>
            <w:shd w:val="clear" w:color="auto" w:fill="70AD47"/>
          </w:tcPr>
          <w:p w:rsidR="00141465" w:rsidRPr="00141465" w:rsidRDefault="00141465" w:rsidP="00141465">
            <w:pPr>
              <w:rPr>
                <w:rFonts w:ascii="Arial" w:hAnsi="Arial" w:cs="Arial"/>
              </w:rPr>
            </w:pPr>
          </w:p>
        </w:tc>
        <w:tc>
          <w:tcPr>
            <w:tcW w:w="1804" w:type="dxa"/>
            <w:shd w:val="clear" w:color="auto" w:fill="FF0000"/>
          </w:tcPr>
          <w:p w:rsidR="00141465" w:rsidRPr="00141465" w:rsidRDefault="00141465" w:rsidP="00141465">
            <w:pPr>
              <w:rPr>
                <w:rFonts w:ascii="Arial" w:hAnsi="Arial" w:cs="Arial"/>
              </w:rPr>
            </w:pPr>
          </w:p>
        </w:tc>
      </w:tr>
      <w:tr w:rsidR="00141465" w:rsidRPr="00141465" w:rsidTr="00141465">
        <w:tc>
          <w:tcPr>
            <w:tcW w:w="1803" w:type="dxa"/>
          </w:tcPr>
          <w:p w:rsidR="00141465" w:rsidRPr="00141465" w:rsidRDefault="00141465" w:rsidP="00141465">
            <w:pPr>
              <w:rPr>
                <w:rFonts w:ascii="Arial" w:hAnsi="Arial" w:cs="Arial"/>
              </w:rPr>
            </w:pPr>
            <w:hyperlink r:id="rId22" w:history="1">
              <w:r w:rsidRPr="00141465">
                <w:rPr>
                  <w:rFonts w:ascii="Arial" w:hAnsi="Arial" w:cs="Arial"/>
                  <w:color w:val="0563C1"/>
                  <w:u w:val="single"/>
                </w:rPr>
                <w:t>Carbon Tracker</w:t>
              </w:r>
            </w:hyperlink>
          </w:p>
        </w:tc>
        <w:tc>
          <w:tcPr>
            <w:tcW w:w="1803" w:type="dxa"/>
          </w:tcPr>
          <w:p w:rsidR="00141465" w:rsidRPr="00141465" w:rsidRDefault="00141465" w:rsidP="00141465">
            <w:pPr>
              <w:rPr>
                <w:rFonts w:ascii="Arial" w:hAnsi="Arial" w:cs="Arial"/>
              </w:rPr>
            </w:pPr>
            <w:r w:rsidRPr="00141465">
              <w:rPr>
                <w:rFonts w:ascii="Arial" w:hAnsi="Arial" w:cs="Arial"/>
              </w:rPr>
              <w:t>Oil and gas, coal equities</w:t>
            </w:r>
          </w:p>
        </w:tc>
        <w:tc>
          <w:tcPr>
            <w:tcW w:w="1803" w:type="dxa"/>
            <w:shd w:val="clear" w:color="auto" w:fill="70AD47"/>
          </w:tcPr>
          <w:p w:rsidR="00141465" w:rsidRPr="00141465" w:rsidRDefault="00141465" w:rsidP="00141465">
            <w:pPr>
              <w:rPr>
                <w:rFonts w:ascii="Arial" w:hAnsi="Arial" w:cs="Arial"/>
              </w:rPr>
            </w:pPr>
          </w:p>
        </w:tc>
        <w:tc>
          <w:tcPr>
            <w:tcW w:w="1803" w:type="dxa"/>
            <w:shd w:val="clear" w:color="auto" w:fill="70AD47"/>
          </w:tcPr>
          <w:p w:rsidR="00141465" w:rsidRPr="00141465" w:rsidRDefault="00141465" w:rsidP="00141465">
            <w:pPr>
              <w:rPr>
                <w:rFonts w:ascii="Arial" w:hAnsi="Arial" w:cs="Arial"/>
              </w:rPr>
            </w:pPr>
          </w:p>
        </w:tc>
        <w:tc>
          <w:tcPr>
            <w:tcW w:w="1804" w:type="dxa"/>
            <w:shd w:val="clear" w:color="auto" w:fill="70AD47"/>
          </w:tcPr>
          <w:p w:rsidR="00141465" w:rsidRPr="00141465" w:rsidRDefault="00141465" w:rsidP="00141465">
            <w:pPr>
              <w:rPr>
                <w:rFonts w:ascii="Arial" w:hAnsi="Arial" w:cs="Arial"/>
              </w:rPr>
            </w:pPr>
          </w:p>
        </w:tc>
      </w:tr>
      <w:tr w:rsidR="00141465" w:rsidRPr="00141465" w:rsidTr="00141465">
        <w:tc>
          <w:tcPr>
            <w:tcW w:w="1803" w:type="dxa"/>
          </w:tcPr>
          <w:p w:rsidR="00141465" w:rsidRPr="00141465" w:rsidRDefault="00141465" w:rsidP="00141465">
            <w:pPr>
              <w:rPr>
                <w:rFonts w:ascii="Arial" w:hAnsi="Arial" w:cs="Arial"/>
              </w:rPr>
            </w:pPr>
            <w:hyperlink r:id="rId23" w:history="1">
              <w:r w:rsidRPr="00141465">
                <w:rPr>
                  <w:rFonts w:ascii="Arial" w:hAnsi="Arial" w:cs="Arial"/>
                  <w:color w:val="0563C1"/>
                  <w:u w:val="single"/>
                </w:rPr>
                <w:t>Science based targets initiative</w:t>
              </w:r>
            </w:hyperlink>
          </w:p>
        </w:tc>
        <w:tc>
          <w:tcPr>
            <w:tcW w:w="1803" w:type="dxa"/>
          </w:tcPr>
          <w:p w:rsidR="00141465" w:rsidRPr="00141465" w:rsidRDefault="00141465" w:rsidP="00141465">
            <w:pPr>
              <w:rPr>
                <w:rFonts w:ascii="Arial" w:hAnsi="Arial" w:cs="Arial"/>
              </w:rPr>
            </w:pPr>
            <w:r w:rsidRPr="00141465">
              <w:rPr>
                <w:rFonts w:ascii="Arial" w:hAnsi="Arial" w:cs="Arial"/>
              </w:rPr>
              <w:t>[integration planned with PACTA]</w:t>
            </w:r>
          </w:p>
        </w:tc>
        <w:tc>
          <w:tcPr>
            <w:tcW w:w="1803" w:type="dxa"/>
            <w:shd w:val="clear" w:color="auto" w:fill="70AD47"/>
          </w:tcPr>
          <w:p w:rsidR="00141465" w:rsidRPr="00141465" w:rsidRDefault="00141465" w:rsidP="00141465">
            <w:pPr>
              <w:rPr>
                <w:rFonts w:ascii="Arial" w:hAnsi="Arial" w:cs="Arial"/>
              </w:rPr>
            </w:pPr>
          </w:p>
        </w:tc>
        <w:tc>
          <w:tcPr>
            <w:tcW w:w="1803" w:type="dxa"/>
            <w:shd w:val="clear" w:color="auto" w:fill="70AD47"/>
          </w:tcPr>
          <w:p w:rsidR="00141465" w:rsidRPr="00141465" w:rsidRDefault="00141465" w:rsidP="00141465">
            <w:pPr>
              <w:rPr>
                <w:rFonts w:ascii="Arial" w:hAnsi="Arial" w:cs="Arial"/>
              </w:rPr>
            </w:pPr>
          </w:p>
        </w:tc>
        <w:tc>
          <w:tcPr>
            <w:tcW w:w="1804" w:type="dxa"/>
            <w:shd w:val="clear" w:color="auto" w:fill="FF0000"/>
          </w:tcPr>
          <w:p w:rsidR="00141465" w:rsidRPr="00141465" w:rsidRDefault="00141465" w:rsidP="00141465">
            <w:pPr>
              <w:rPr>
                <w:rFonts w:ascii="Arial" w:hAnsi="Arial" w:cs="Arial"/>
              </w:rPr>
            </w:pPr>
          </w:p>
        </w:tc>
      </w:tr>
    </w:tbl>
    <w:p w:rsidR="00141465" w:rsidRPr="00141465" w:rsidRDefault="00141465" w:rsidP="00141465">
      <w:pPr>
        <w:spacing w:after="160" w:line="259" w:lineRule="auto"/>
        <w:rPr>
          <w:rFonts w:eastAsia="DengXian" w:cs="Arial"/>
          <w:sz w:val="22"/>
          <w:szCs w:val="22"/>
          <w:lang w:eastAsia="zh-CN"/>
        </w:rPr>
      </w:pPr>
    </w:p>
    <w:p w:rsidR="00141465" w:rsidRPr="00141465" w:rsidRDefault="00141465" w:rsidP="00141465">
      <w:pPr>
        <w:spacing w:after="160" w:line="259" w:lineRule="auto"/>
        <w:rPr>
          <w:rFonts w:eastAsia="DengXian" w:cs="Arial"/>
          <w:sz w:val="22"/>
          <w:szCs w:val="22"/>
          <w:lang w:eastAsia="zh-CN"/>
        </w:rPr>
      </w:pPr>
      <w:r w:rsidRPr="00141465">
        <w:rPr>
          <w:rFonts w:eastAsia="DengXian" w:cs="Arial"/>
          <w:sz w:val="22"/>
          <w:szCs w:val="22"/>
          <w:lang w:eastAsia="zh-CN"/>
        </w:rPr>
        <w:t xml:space="preserve">As well as which tools to use, investors also need to consider </w:t>
      </w:r>
      <w:r w:rsidRPr="00141465">
        <w:rPr>
          <w:rFonts w:eastAsia="DengXian" w:cs="Arial"/>
          <w:b/>
          <w:sz w:val="22"/>
          <w:szCs w:val="22"/>
          <w:lang w:eastAsia="zh-CN"/>
        </w:rPr>
        <w:t>what scenarios are relevant</w:t>
      </w:r>
      <w:r w:rsidRPr="00141465">
        <w:rPr>
          <w:rFonts w:eastAsia="DengXian" w:cs="Arial"/>
          <w:sz w:val="22"/>
          <w:szCs w:val="22"/>
          <w:lang w:eastAsia="zh-CN"/>
        </w:rPr>
        <w:t xml:space="preserve"> to their analysis. The TCFD recommends the use of a range of scenarios, including a 2⁰C or lower scenario. Yet, as well as a temperature outcome, it is also important to consider whether the path to will be smooth or abrupt. As the realities of climate change become increasingly apparent, it is inevitable, in PRI’s view, that governments will be forced to act more decisively than they have so far.</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 xml:space="preserve">Q5. What are the use cases of TCFD reporting and where are the examples of investors who have done this? </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pacing w:after="160" w:line="259" w:lineRule="auto"/>
        <w:rPr>
          <w:rFonts w:eastAsia="Calibri" w:cs="Arial"/>
          <w:sz w:val="22"/>
          <w:szCs w:val="22"/>
        </w:rPr>
      </w:pPr>
      <w:r w:rsidRPr="00141465">
        <w:rPr>
          <w:rFonts w:eastAsia="Calibri" w:cs="Arial"/>
          <w:sz w:val="22"/>
          <w:szCs w:val="22"/>
        </w:rPr>
        <w:t xml:space="preserve">As a disclosure framework, reporting is clearly an important part of TCFD. Yet, the disclosures are not the end goal, but rather the mechanism through which the Taskforce’s recommendations are implemented </w:t>
      </w:r>
    </w:p>
    <w:p w:rsidR="00141465" w:rsidRPr="00141465" w:rsidRDefault="00141465" w:rsidP="00141465">
      <w:pPr>
        <w:spacing w:after="160" w:line="259" w:lineRule="auto"/>
        <w:rPr>
          <w:rFonts w:eastAsia="Calibri" w:cs="Arial"/>
          <w:sz w:val="22"/>
          <w:szCs w:val="22"/>
        </w:rPr>
      </w:pPr>
      <w:r w:rsidRPr="00141465">
        <w:rPr>
          <w:rFonts w:eastAsia="Calibri" w:cs="Arial"/>
          <w:sz w:val="22"/>
          <w:szCs w:val="22"/>
        </w:rPr>
        <w:t>Key applications of TCFD reporting are:</w:t>
      </w:r>
    </w:p>
    <w:p w:rsidR="00141465" w:rsidRPr="00141465" w:rsidRDefault="00141465" w:rsidP="002019FB">
      <w:pPr>
        <w:numPr>
          <w:ilvl w:val="0"/>
          <w:numId w:val="17"/>
        </w:numPr>
        <w:spacing w:after="160" w:line="259" w:lineRule="auto"/>
        <w:contextualSpacing/>
        <w:rPr>
          <w:rFonts w:eastAsia="Calibri" w:cs="Arial"/>
          <w:sz w:val="22"/>
          <w:szCs w:val="22"/>
        </w:rPr>
      </w:pPr>
      <w:r w:rsidRPr="00141465">
        <w:rPr>
          <w:rFonts w:eastAsia="Calibri" w:cs="Arial"/>
          <w:b/>
          <w:sz w:val="22"/>
          <w:szCs w:val="22"/>
        </w:rPr>
        <w:t>Assessing the resilience of your investment strategy</w:t>
      </w:r>
      <w:r w:rsidRPr="00141465">
        <w:rPr>
          <w:rFonts w:eastAsia="Calibri" w:cs="Arial"/>
          <w:sz w:val="22"/>
          <w:szCs w:val="22"/>
        </w:rPr>
        <w:t xml:space="preserve"> – by testing portfolios under different climate constrained scenarios investors </w:t>
      </w:r>
      <w:proofErr w:type="gramStart"/>
      <w:r w:rsidRPr="00141465">
        <w:rPr>
          <w:rFonts w:eastAsia="Calibri" w:cs="Arial"/>
          <w:sz w:val="22"/>
          <w:szCs w:val="22"/>
        </w:rPr>
        <w:t>are able to</w:t>
      </w:r>
      <w:proofErr w:type="gramEnd"/>
      <w:r w:rsidRPr="00141465">
        <w:rPr>
          <w:rFonts w:eastAsia="Calibri" w:cs="Arial"/>
          <w:sz w:val="22"/>
          <w:szCs w:val="22"/>
        </w:rPr>
        <w:t xml:space="preserve"> consider a broader range of assumptions, uncertainties, and potential future states when assessing financial implications of climate change.</w:t>
      </w:r>
    </w:p>
    <w:p w:rsidR="00141465" w:rsidRPr="00141465" w:rsidRDefault="00141465" w:rsidP="00141465">
      <w:pPr>
        <w:spacing w:after="160" w:line="259" w:lineRule="auto"/>
        <w:ind w:left="720"/>
        <w:contextualSpacing/>
        <w:rPr>
          <w:rFonts w:eastAsia="Calibri" w:cs="Arial"/>
          <w:b/>
          <w:sz w:val="22"/>
          <w:szCs w:val="22"/>
        </w:rPr>
      </w:pPr>
    </w:p>
    <w:p w:rsidR="00141465" w:rsidRPr="00141465" w:rsidRDefault="00141465" w:rsidP="00141465">
      <w:pPr>
        <w:snapToGrid w:val="0"/>
        <w:spacing w:line="0" w:lineRule="atLeast"/>
        <w:ind w:firstLine="720"/>
        <w:rPr>
          <w:rFonts w:eastAsia="DengXian" w:cs="Arial"/>
          <w:color w:val="000000"/>
          <w:sz w:val="22"/>
          <w:szCs w:val="22"/>
          <w:shd w:val="clear" w:color="auto" w:fill="FFFFFF"/>
          <w:lang w:eastAsia="zh-CN"/>
        </w:rPr>
      </w:pPr>
      <w:r w:rsidRPr="00141465">
        <w:rPr>
          <w:rFonts w:eastAsia="DengXian" w:cs="Arial"/>
          <w:color w:val="000000"/>
          <w:sz w:val="22"/>
          <w:szCs w:val="22"/>
          <w:u w:val="single"/>
          <w:shd w:val="clear" w:color="auto" w:fill="FFFFFF"/>
          <w:lang w:eastAsia="zh-CN"/>
        </w:rPr>
        <w:t>Investor examples</w:t>
      </w:r>
      <w:r w:rsidRPr="00141465">
        <w:rPr>
          <w:rFonts w:eastAsia="DengXian" w:cs="Arial"/>
          <w:color w:val="000000"/>
          <w:sz w:val="22"/>
          <w:szCs w:val="22"/>
          <w:shd w:val="clear" w:color="auto" w:fill="FFFFFF"/>
          <w:lang w:eastAsia="zh-CN"/>
        </w:rPr>
        <w:t xml:space="preserve"> of this include </w:t>
      </w:r>
      <w:hyperlink r:id="rId24" w:history="1">
        <w:proofErr w:type="spellStart"/>
        <w:r w:rsidRPr="00141465">
          <w:rPr>
            <w:rFonts w:eastAsia="DengXian" w:cs="Arial"/>
            <w:color w:val="0563C1"/>
            <w:sz w:val="22"/>
            <w:szCs w:val="22"/>
            <w:u w:val="single"/>
            <w:shd w:val="clear" w:color="auto" w:fill="FFFFFF"/>
            <w:lang w:eastAsia="zh-CN"/>
          </w:rPr>
          <w:t>Axa</w:t>
        </w:r>
        <w:proofErr w:type="spellEnd"/>
      </w:hyperlink>
      <w:r w:rsidRPr="00141465">
        <w:rPr>
          <w:rFonts w:eastAsia="DengXian" w:cs="Arial"/>
          <w:color w:val="000000"/>
          <w:sz w:val="22"/>
          <w:szCs w:val="22"/>
          <w:shd w:val="clear" w:color="auto" w:fill="FFFFFF"/>
          <w:lang w:eastAsia="zh-CN"/>
        </w:rPr>
        <w:t xml:space="preserve">, </w:t>
      </w:r>
      <w:hyperlink r:id="rId25" w:history="1">
        <w:r w:rsidRPr="00141465">
          <w:rPr>
            <w:rFonts w:eastAsia="DengXian" w:cs="Arial"/>
            <w:color w:val="0563C1"/>
            <w:sz w:val="22"/>
            <w:szCs w:val="22"/>
            <w:u w:val="single"/>
            <w:shd w:val="clear" w:color="auto" w:fill="FFFFFF"/>
            <w:lang w:eastAsia="zh-CN"/>
          </w:rPr>
          <w:t>Aviva</w:t>
        </w:r>
      </w:hyperlink>
      <w:r w:rsidRPr="00141465">
        <w:rPr>
          <w:rFonts w:eastAsia="DengXian" w:cs="Arial"/>
          <w:color w:val="000000"/>
          <w:sz w:val="22"/>
          <w:szCs w:val="22"/>
          <w:shd w:val="clear" w:color="auto" w:fill="FFFFFF"/>
          <w:lang w:eastAsia="zh-CN"/>
        </w:rPr>
        <w:t xml:space="preserve">, Allianz France and </w:t>
      </w:r>
      <w:hyperlink r:id="rId26" w:history="1">
        <w:r w:rsidRPr="00141465">
          <w:rPr>
            <w:rFonts w:eastAsia="DengXian" w:cs="Arial"/>
            <w:color w:val="0563C1"/>
            <w:sz w:val="22"/>
            <w:szCs w:val="22"/>
            <w:u w:val="single"/>
            <w:shd w:val="clear" w:color="auto" w:fill="FFFFFF"/>
            <w:lang w:eastAsia="zh-CN"/>
          </w:rPr>
          <w:t>GPIF</w:t>
        </w:r>
      </w:hyperlink>
      <w:r w:rsidRPr="00141465">
        <w:rPr>
          <w:rFonts w:eastAsia="DengXian" w:cs="Arial"/>
          <w:color w:val="000000"/>
          <w:sz w:val="22"/>
          <w:szCs w:val="22"/>
          <w:shd w:val="clear" w:color="auto" w:fill="FFFFFF"/>
          <w:lang w:eastAsia="zh-CN"/>
        </w:rPr>
        <w:t xml:space="preserve">, </w:t>
      </w:r>
      <w:hyperlink r:id="rId27" w:history="1">
        <w:r w:rsidRPr="00141465">
          <w:rPr>
            <w:rFonts w:eastAsia="DengXian" w:cs="Arial"/>
            <w:color w:val="0563C1"/>
            <w:sz w:val="22"/>
            <w:szCs w:val="22"/>
            <w:u w:val="single"/>
            <w:shd w:val="clear" w:color="auto" w:fill="FFFFFF"/>
            <w:lang w:eastAsia="zh-CN"/>
          </w:rPr>
          <w:t>CalSTRS</w:t>
        </w:r>
      </w:hyperlink>
    </w:p>
    <w:p w:rsidR="00141465" w:rsidRPr="00141465" w:rsidRDefault="00141465" w:rsidP="00141465">
      <w:pPr>
        <w:spacing w:after="160" w:line="259" w:lineRule="auto"/>
        <w:ind w:left="720"/>
        <w:contextualSpacing/>
        <w:rPr>
          <w:rFonts w:eastAsia="Calibri" w:cs="Arial"/>
          <w:sz w:val="22"/>
          <w:szCs w:val="22"/>
        </w:rPr>
      </w:pPr>
    </w:p>
    <w:p w:rsidR="00141465" w:rsidRPr="00141465" w:rsidRDefault="00141465" w:rsidP="00141465">
      <w:pPr>
        <w:spacing w:after="160" w:line="259" w:lineRule="auto"/>
        <w:ind w:left="720"/>
        <w:contextualSpacing/>
        <w:rPr>
          <w:rFonts w:eastAsia="Calibri" w:cs="Arial"/>
          <w:sz w:val="22"/>
          <w:szCs w:val="22"/>
        </w:rPr>
      </w:pPr>
    </w:p>
    <w:p w:rsidR="00141465" w:rsidRPr="00141465" w:rsidRDefault="00141465" w:rsidP="002019FB">
      <w:pPr>
        <w:numPr>
          <w:ilvl w:val="0"/>
          <w:numId w:val="17"/>
        </w:numPr>
        <w:spacing w:after="160" w:line="259" w:lineRule="auto"/>
        <w:contextualSpacing/>
        <w:rPr>
          <w:rFonts w:eastAsia="Calibri" w:cs="Arial"/>
          <w:sz w:val="22"/>
          <w:szCs w:val="22"/>
        </w:rPr>
      </w:pPr>
      <w:r w:rsidRPr="00141465">
        <w:rPr>
          <w:rFonts w:eastAsia="Calibri" w:cs="Arial"/>
          <w:b/>
          <w:sz w:val="22"/>
          <w:szCs w:val="22"/>
        </w:rPr>
        <w:t>Structuring corporate engagement</w:t>
      </w:r>
      <w:r w:rsidRPr="00141465">
        <w:rPr>
          <w:rFonts w:eastAsia="Calibri" w:cs="Arial"/>
          <w:sz w:val="22"/>
          <w:szCs w:val="22"/>
        </w:rPr>
        <w:t xml:space="preserve"> – the TCFD recommendations act as a useful framework for structuring engagement with portfolio companies. Investors can utilise TCFD disclosures to better understand how investee companies are exposed to climate-related risks. </w:t>
      </w:r>
    </w:p>
    <w:p w:rsidR="00141465" w:rsidRPr="00141465" w:rsidRDefault="00141465" w:rsidP="00141465">
      <w:pPr>
        <w:spacing w:after="160" w:line="259" w:lineRule="auto"/>
        <w:ind w:left="720"/>
        <w:contextualSpacing/>
        <w:rPr>
          <w:rFonts w:eastAsia="Calibri" w:cs="Arial"/>
          <w:sz w:val="22"/>
          <w:szCs w:val="22"/>
        </w:rPr>
      </w:pPr>
    </w:p>
    <w:p w:rsidR="00141465" w:rsidRPr="00141465" w:rsidRDefault="00141465" w:rsidP="00141465">
      <w:pPr>
        <w:spacing w:after="160" w:line="259" w:lineRule="auto"/>
        <w:ind w:left="720"/>
        <w:contextualSpacing/>
        <w:rPr>
          <w:rFonts w:eastAsia="Calibri" w:cs="Arial"/>
          <w:sz w:val="22"/>
          <w:szCs w:val="22"/>
        </w:rPr>
      </w:pPr>
      <w:r w:rsidRPr="00141465">
        <w:rPr>
          <w:rFonts w:eastAsia="Calibri" w:cs="Arial"/>
          <w:sz w:val="22"/>
          <w:szCs w:val="22"/>
          <w:u w:val="single"/>
        </w:rPr>
        <w:t>Investor examples</w:t>
      </w:r>
      <w:r w:rsidRPr="00141465">
        <w:rPr>
          <w:rFonts w:eastAsia="Calibri" w:cs="Arial"/>
          <w:sz w:val="22"/>
          <w:szCs w:val="22"/>
        </w:rPr>
        <w:t xml:space="preserve"> include the joint TCFD case study from </w:t>
      </w:r>
      <w:hyperlink r:id="rId28" w:history="1">
        <w:proofErr w:type="spellStart"/>
        <w:r w:rsidRPr="00141465">
          <w:rPr>
            <w:rFonts w:eastAsia="Calibri" w:cs="Arial"/>
            <w:color w:val="0563C1"/>
            <w:sz w:val="22"/>
            <w:szCs w:val="22"/>
            <w:u w:val="single"/>
          </w:rPr>
          <w:t>Storebrand</w:t>
        </w:r>
        <w:proofErr w:type="spellEnd"/>
        <w:r w:rsidRPr="00141465">
          <w:rPr>
            <w:rFonts w:eastAsia="Calibri" w:cs="Arial"/>
            <w:color w:val="0563C1"/>
            <w:sz w:val="22"/>
            <w:szCs w:val="22"/>
            <w:u w:val="single"/>
          </w:rPr>
          <w:t xml:space="preserve"> and </w:t>
        </w:r>
        <w:proofErr w:type="spellStart"/>
        <w:r w:rsidRPr="00141465">
          <w:rPr>
            <w:rFonts w:eastAsia="Calibri" w:cs="Arial"/>
            <w:color w:val="0563C1"/>
            <w:sz w:val="22"/>
            <w:szCs w:val="22"/>
            <w:u w:val="single"/>
          </w:rPr>
          <w:t>Equinor</w:t>
        </w:r>
        <w:proofErr w:type="spellEnd"/>
      </w:hyperlink>
      <w:r w:rsidRPr="00141465">
        <w:rPr>
          <w:rFonts w:eastAsia="Calibri" w:cs="Arial"/>
          <w:sz w:val="22"/>
          <w:szCs w:val="22"/>
        </w:rPr>
        <w:t xml:space="preserve">, </w:t>
      </w:r>
      <w:hyperlink r:id="rId29" w:history="1">
        <w:proofErr w:type="spellStart"/>
        <w:r w:rsidRPr="00141465">
          <w:rPr>
            <w:rFonts w:eastAsia="Calibri" w:cs="Arial"/>
            <w:color w:val="0563C1"/>
            <w:sz w:val="22"/>
            <w:szCs w:val="22"/>
            <w:u w:val="single"/>
          </w:rPr>
          <w:t>Pingan</w:t>
        </w:r>
        <w:proofErr w:type="spellEnd"/>
        <w:r w:rsidRPr="00141465">
          <w:rPr>
            <w:rFonts w:eastAsia="Calibri" w:cs="Arial"/>
            <w:color w:val="0563C1"/>
            <w:sz w:val="22"/>
            <w:szCs w:val="22"/>
            <w:u w:val="single"/>
          </w:rPr>
          <w:t xml:space="preserve"> Group</w:t>
        </w:r>
      </w:hyperlink>
    </w:p>
    <w:p w:rsidR="00141465" w:rsidRPr="00141465" w:rsidRDefault="00141465" w:rsidP="00141465">
      <w:pPr>
        <w:spacing w:after="160" w:line="259" w:lineRule="auto"/>
        <w:ind w:left="720"/>
        <w:contextualSpacing/>
        <w:rPr>
          <w:rFonts w:eastAsia="Calibri" w:cs="Arial"/>
          <w:sz w:val="22"/>
          <w:szCs w:val="22"/>
        </w:rPr>
      </w:pPr>
    </w:p>
    <w:p w:rsidR="00141465" w:rsidRPr="00141465" w:rsidRDefault="00141465" w:rsidP="002019FB">
      <w:pPr>
        <w:numPr>
          <w:ilvl w:val="0"/>
          <w:numId w:val="17"/>
        </w:numPr>
        <w:spacing w:after="160" w:line="259" w:lineRule="auto"/>
        <w:contextualSpacing/>
        <w:rPr>
          <w:rFonts w:eastAsia="Calibri" w:cs="Arial"/>
          <w:sz w:val="22"/>
          <w:szCs w:val="22"/>
        </w:rPr>
      </w:pPr>
      <w:r w:rsidRPr="00141465">
        <w:rPr>
          <w:rFonts w:eastAsia="Calibri" w:cs="Arial"/>
          <w:b/>
          <w:sz w:val="22"/>
          <w:szCs w:val="22"/>
        </w:rPr>
        <w:lastRenderedPageBreak/>
        <w:t>Embedding board oversight of climate-related risks and opportunities</w:t>
      </w:r>
      <w:r w:rsidRPr="00141465">
        <w:rPr>
          <w:rFonts w:eastAsia="Calibri" w:cs="Arial"/>
          <w:sz w:val="22"/>
          <w:szCs w:val="22"/>
        </w:rPr>
        <w:t xml:space="preserve"> – effective TCFD reporting requires cross-organisational collaboration and alignment, which means drawing many different teams to assess climate-related issues. TCFD reports can therefore help build capacity across the organisation of the understanding of climate-related risk and ultimately lead to more robust governance, strategy and risk management practices. </w:t>
      </w:r>
    </w:p>
    <w:p w:rsidR="00141465" w:rsidRPr="00141465" w:rsidRDefault="00141465" w:rsidP="00141465">
      <w:pPr>
        <w:snapToGrid w:val="0"/>
        <w:spacing w:line="0" w:lineRule="atLeast"/>
        <w:ind w:left="360"/>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ind w:left="360"/>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Investor examples include: </w:t>
      </w:r>
      <w:hyperlink r:id="rId30" w:history="1">
        <w:r w:rsidRPr="00141465">
          <w:rPr>
            <w:rFonts w:eastAsia="DengXian" w:cs="Arial"/>
            <w:color w:val="0563C1"/>
            <w:sz w:val="22"/>
            <w:szCs w:val="22"/>
            <w:u w:val="single"/>
            <w:shd w:val="clear" w:color="auto" w:fill="FFFFFF"/>
            <w:lang w:eastAsia="zh-CN"/>
          </w:rPr>
          <w:t>Cbus</w:t>
        </w:r>
      </w:hyperlink>
      <w:r w:rsidRPr="00141465">
        <w:rPr>
          <w:rFonts w:eastAsia="DengXian" w:cs="Arial"/>
          <w:color w:val="000000"/>
          <w:sz w:val="22"/>
          <w:szCs w:val="22"/>
          <w:shd w:val="clear" w:color="auto" w:fill="FFFFFF"/>
          <w:lang w:eastAsia="zh-CN"/>
        </w:rPr>
        <w:t xml:space="preserve">, </w:t>
      </w:r>
      <w:hyperlink r:id="rId31" w:history="1">
        <w:r w:rsidRPr="00141465">
          <w:rPr>
            <w:rFonts w:eastAsia="DengXian" w:cs="Arial"/>
            <w:color w:val="0563C1"/>
            <w:sz w:val="22"/>
            <w:szCs w:val="22"/>
            <w:u w:val="single"/>
            <w:shd w:val="clear" w:color="auto" w:fill="FFFFFF"/>
            <w:lang w:eastAsia="zh-CN"/>
          </w:rPr>
          <w:t>CalSTRS</w:t>
        </w:r>
      </w:hyperlink>
      <w:r w:rsidRPr="00141465">
        <w:rPr>
          <w:rFonts w:eastAsia="DengXian" w:cs="Arial"/>
          <w:color w:val="000000"/>
          <w:sz w:val="22"/>
          <w:szCs w:val="22"/>
          <w:shd w:val="clear" w:color="auto" w:fill="FFFFFF"/>
          <w:lang w:eastAsia="zh-CN"/>
        </w:rPr>
        <w:t xml:space="preserve">, </w:t>
      </w:r>
      <w:hyperlink r:id="rId32" w:history="1">
        <w:r w:rsidRPr="00141465">
          <w:rPr>
            <w:rFonts w:eastAsia="DengXian" w:cs="Arial"/>
            <w:color w:val="0563C1"/>
            <w:sz w:val="22"/>
            <w:szCs w:val="22"/>
            <w:u w:val="single"/>
            <w:shd w:val="clear" w:color="auto" w:fill="FFFFFF"/>
            <w:lang w:eastAsia="zh-CN"/>
          </w:rPr>
          <w:t>New York State Common</w:t>
        </w:r>
      </w:hyperlink>
    </w:p>
    <w:p w:rsidR="00141465" w:rsidRPr="00141465" w:rsidRDefault="00141465" w:rsidP="00141465">
      <w:pPr>
        <w:snapToGrid w:val="0"/>
        <w:spacing w:line="0" w:lineRule="atLeast"/>
        <w:ind w:left="360"/>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ind w:left="360"/>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In addition, reporting and aggregated analysis from the 2019 PRI climate indicators, including 221 investor climate reports (responses to the indicator questions) is available </w:t>
      </w:r>
      <w:hyperlink r:id="rId33" w:history="1">
        <w:r w:rsidRPr="00141465">
          <w:rPr>
            <w:rFonts w:eastAsia="DengXian" w:cs="Arial"/>
            <w:color w:val="0563C1"/>
            <w:sz w:val="22"/>
            <w:szCs w:val="22"/>
            <w:u w:val="single"/>
            <w:shd w:val="clear" w:color="auto" w:fill="FFFFFF"/>
            <w:lang w:eastAsia="zh-CN"/>
          </w:rPr>
          <w:t>here</w:t>
        </w:r>
      </w:hyperlink>
      <w:r w:rsidRPr="00141465">
        <w:rPr>
          <w:rFonts w:eastAsia="DengXian" w:cs="Arial"/>
          <w:color w:val="000000"/>
          <w:sz w:val="22"/>
          <w:szCs w:val="22"/>
          <w:shd w:val="clear" w:color="auto" w:fill="FFFFFF"/>
          <w:lang w:eastAsia="zh-CN"/>
        </w:rPr>
        <w:t xml:space="preserve">. </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Q6.</w:t>
      </w:r>
      <w:r w:rsidRPr="00141465">
        <w:rPr>
          <w:rFonts w:eastAsia="DengXian" w:cs="Arial"/>
          <w:color w:val="000000"/>
          <w:sz w:val="22"/>
          <w:szCs w:val="22"/>
          <w:shd w:val="clear" w:color="auto" w:fill="FFFFFF"/>
          <w:lang w:eastAsia="zh-CN"/>
        </w:rPr>
        <w:t xml:space="preserve"> </w:t>
      </w:r>
      <w:r w:rsidRPr="00141465">
        <w:rPr>
          <w:rFonts w:eastAsia="DengXian" w:cs="Arial"/>
          <w:b/>
          <w:color w:val="000000"/>
          <w:sz w:val="22"/>
          <w:szCs w:val="22"/>
          <w:shd w:val="clear" w:color="auto" w:fill="FFFFFF"/>
          <w:lang w:eastAsia="zh-CN"/>
        </w:rPr>
        <w:t>Do I need to respond to the PRI climate indicators if my organisation already publishes a TCFD report?</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Yes. This is a requirement for all signatories that report to the PRI. You should be able to use your TCFD disclosures in your PRI reporting. </w:t>
      </w: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 xml:space="preserve">Q7. Does PRI assess signatories’ responses to the climate indicators? </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 xml:space="preserve">No. The climate indicators are a non-assessed part of PRI’s reporting framework. Through the PRI climate snapshot report (hyperlink), we do provide anonymous interpretation of the responses, grouping signatories across four categories: </w:t>
      </w:r>
    </w:p>
    <w:p w:rsidR="00141465" w:rsidRPr="00141465" w:rsidRDefault="00141465" w:rsidP="00141465">
      <w:pPr>
        <w:snapToGrid w:val="0"/>
        <w:spacing w:line="0" w:lineRule="atLeast"/>
        <w:ind w:left="720"/>
        <w:rPr>
          <w:rFonts w:eastAsia="DengXian" w:cs="Arial"/>
          <w:color w:val="000000"/>
          <w:sz w:val="22"/>
          <w:szCs w:val="22"/>
          <w:shd w:val="clear" w:color="auto" w:fill="FFFFFF"/>
          <w:lang w:eastAsia="zh-CN"/>
        </w:rPr>
      </w:pPr>
    </w:p>
    <w:p w:rsidR="00141465" w:rsidRPr="00141465" w:rsidRDefault="00141465" w:rsidP="002019FB">
      <w:pPr>
        <w:numPr>
          <w:ilvl w:val="0"/>
          <w:numId w:val="13"/>
        </w:numPr>
        <w:snapToGrid w:val="0"/>
        <w:spacing w:after="160" w:line="0" w:lineRule="atLeast"/>
        <w:contextualSpacing/>
        <w:rPr>
          <w:rFonts w:eastAsia="DengXian" w:cs="Arial"/>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not reported</w:t>
      </w:r>
    </w:p>
    <w:p w:rsidR="00141465" w:rsidRPr="00141465" w:rsidRDefault="00141465" w:rsidP="002019FB">
      <w:pPr>
        <w:numPr>
          <w:ilvl w:val="0"/>
          <w:numId w:val="13"/>
        </w:numPr>
        <w:snapToGrid w:val="0"/>
        <w:spacing w:after="160" w:line="0" w:lineRule="atLeast"/>
        <w:contextualSpacing/>
        <w:rPr>
          <w:rFonts w:eastAsia="DengXian" w:cs="Arial"/>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responsive:</w:t>
      </w:r>
      <w:r w:rsidRPr="00141465">
        <w:rPr>
          <w:rFonts w:eastAsia="DengXian" w:cs="Arial"/>
          <w:color w:val="000000"/>
          <w:sz w:val="22"/>
          <w:szCs w:val="22"/>
          <w:shd w:val="clear" w:color="auto" w:fill="FFFFFF"/>
          <w:lang w:eastAsia="zh-CN"/>
        </w:rPr>
        <w:t xml:space="preserve"> signatories opt to make the response to climate indicators private to the PRI or a public </w:t>
      </w:r>
      <w:proofErr w:type="gramStart"/>
      <w:r w:rsidRPr="00141465">
        <w:rPr>
          <w:rFonts w:eastAsia="DengXian" w:cs="Arial"/>
          <w:color w:val="000000"/>
          <w:sz w:val="22"/>
          <w:szCs w:val="22"/>
          <w:shd w:val="clear" w:color="auto" w:fill="FFFFFF"/>
          <w:lang w:eastAsia="zh-CN"/>
        </w:rPr>
        <w:t>response</w:t>
      </w:r>
      <w:proofErr w:type="gramEnd"/>
      <w:r w:rsidRPr="00141465">
        <w:rPr>
          <w:rFonts w:eastAsia="DengXian" w:cs="Arial"/>
          <w:color w:val="000000"/>
          <w:sz w:val="22"/>
          <w:szCs w:val="22"/>
          <w:shd w:val="clear" w:color="auto" w:fill="FFFFFF"/>
          <w:lang w:eastAsia="zh-CN"/>
        </w:rPr>
        <w:t xml:space="preserve"> but a description of scenario analysis is not provided. </w:t>
      </w:r>
    </w:p>
    <w:p w:rsidR="00141465" w:rsidRPr="00141465" w:rsidRDefault="00141465" w:rsidP="002019FB">
      <w:pPr>
        <w:numPr>
          <w:ilvl w:val="0"/>
          <w:numId w:val="13"/>
        </w:numPr>
        <w:snapToGrid w:val="0"/>
        <w:spacing w:after="160" w:line="0" w:lineRule="atLeast"/>
        <w:contextualSpacing/>
        <w:rPr>
          <w:rFonts w:eastAsia="DengXian" w:cs="Arial"/>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responsible</w:t>
      </w:r>
      <w:r w:rsidRPr="00141465">
        <w:rPr>
          <w:rFonts w:eastAsia="DengXian" w:cs="Arial"/>
          <w:color w:val="000000"/>
          <w:sz w:val="22"/>
          <w:szCs w:val="22"/>
          <w:shd w:val="clear" w:color="auto" w:fill="FFFFFF"/>
          <w:lang w:eastAsia="zh-CN"/>
        </w:rPr>
        <w:t xml:space="preserve">: a public response to the climate indicator questions, including description of findings from climate scenario analysis. </w:t>
      </w:r>
    </w:p>
    <w:p w:rsidR="00141465" w:rsidRPr="00141465" w:rsidRDefault="00141465" w:rsidP="002019FB">
      <w:pPr>
        <w:numPr>
          <w:ilvl w:val="0"/>
          <w:numId w:val="13"/>
        </w:numPr>
        <w:snapToGrid w:val="0"/>
        <w:spacing w:after="160" w:line="0" w:lineRule="atLeast"/>
        <w:contextualSpacing/>
        <w:rPr>
          <w:rFonts w:eastAsia="DengXian" w:cs="Arial"/>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strategic:</w:t>
      </w:r>
      <w:r w:rsidRPr="00141465">
        <w:rPr>
          <w:rFonts w:eastAsia="DengXian" w:cs="Arial"/>
          <w:color w:val="000000"/>
          <w:sz w:val="22"/>
          <w:szCs w:val="22"/>
          <w:shd w:val="clear" w:color="auto" w:fill="FFFFFF"/>
          <w:lang w:eastAsia="zh-CN"/>
        </w:rPr>
        <w:t xml:space="preserve"> a public response, publicly supports TCFD, a board approved implementation plan, consider near and </w:t>
      </w:r>
      <w:proofErr w:type="gramStart"/>
      <w:r w:rsidRPr="00141465">
        <w:rPr>
          <w:rFonts w:eastAsia="DengXian" w:cs="Arial"/>
          <w:color w:val="000000"/>
          <w:sz w:val="22"/>
          <w:szCs w:val="22"/>
          <w:shd w:val="clear" w:color="auto" w:fill="FFFFFF"/>
          <w:lang w:eastAsia="zh-CN"/>
        </w:rPr>
        <w:t>long term</w:t>
      </w:r>
      <w:proofErr w:type="gramEnd"/>
      <w:r w:rsidRPr="00141465">
        <w:rPr>
          <w:rFonts w:eastAsia="DengXian" w:cs="Arial"/>
          <w:color w:val="000000"/>
          <w:sz w:val="22"/>
          <w:szCs w:val="22"/>
          <w:shd w:val="clear" w:color="auto" w:fill="FFFFFF"/>
          <w:lang w:eastAsia="zh-CN"/>
        </w:rPr>
        <w:t xml:space="preserve"> climate risks, published climate targets.</w:t>
      </w: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color w:val="000000"/>
          <w:sz w:val="22"/>
          <w:szCs w:val="22"/>
          <w:shd w:val="clear" w:color="auto" w:fill="FFFFFF"/>
          <w:lang w:eastAsia="zh-CN"/>
        </w:rPr>
      </w:pPr>
      <w:r w:rsidRPr="00141465">
        <w:rPr>
          <w:rFonts w:eastAsia="DengXian" w:cs="Arial"/>
          <w:b/>
          <w:color w:val="000000"/>
          <w:sz w:val="22"/>
          <w:szCs w:val="22"/>
          <w:shd w:val="clear" w:color="auto" w:fill="FFFFFF"/>
          <w:lang w:eastAsia="zh-CN"/>
        </w:rPr>
        <w:t xml:space="preserve">Q8: Do investment consultant signatories need to respond to the climate indicators? </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r w:rsidRPr="00141465">
        <w:rPr>
          <w:rFonts w:eastAsia="DengXian" w:cs="Arial"/>
          <w:color w:val="000000"/>
          <w:sz w:val="22"/>
          <w:szCs w:val="22"/>
          <w:shd w:val="clear" w:color="auto" w:fill="FFFFFF"/>
          <w:lang w:eastAsia="zh-CN"/>
        </w:rPr>
        <w:t>No. Investor signatories only need to complete these TCFD based indicators. However, given the prominent role that investment consultants play in some markets, the relevance of TCFD type questions is currently being reviewed.</w:t>
      </w:r>
    </w:p>
    <w:p w:rsidR="00141465" w:rsidRPr="00141465" w:rsidRDefault="00141465" w:rsidP="00141465">
      <w:pPr>
        <w:snapToGrid w:val="0"/>
        <w:spacing w:line="0" w:lineRule="atLeast"/>
        <w:rPr>
          <w:rFonts w:eastAsia="DengXian" w:cs="Arial"/>
          <w:color w:val="000000"/>
          <w:sz w:val="22"/>
          <w:szCs w:val="22"/>
          <w:shd w:val="clear" w:color="auto" w:fill="FFFFFF"/>
          <w:lang w:eastAsia="zh-CN"/>
        </w:rPr>
      </w:pPr>
    </w:p>
    <w:p w:rsidR="00141465" w:rsidRPr="00141465" w:rsidRDefault="00141465" w:rsidP="00141465">
      <w:pPr>
        <w:snapToGrid w:val="0"/>
        <w:spacing w:line="0" w:lineRule="atLeast"/>
        <w:rPr>
          <w:rFonts w:eastAsia="DengXian" w:cs="Arial"/>
          <w:b/>
          <w:sz w:val="22"/>
          <w:szCs w:val="22"/>
          <w:lang w:eastAsia="zh-CN"/>
        </w:rPr>
      </w:pPr>
      <w:r w:rsidRPr="00141465">
        <w:rPr>
          <w:rFonts w:eastAsia="DengXian" w:cs="Arial"/>
          <w:b/>
          <w:sz w:val="22"/>
          <w:szCs w:val="22"/>
          <w:lang w:eastAsia="zh-CN"/>
        </w:rPr>
        <w:t xml:space="preserve">Q9: What is meant by an ‘organisation wide strategy’ in indicator SG1.9 CC? </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lang w:eastAsia="zh-CN"/>
        </w:rPr>
      </w:pPr>
      <w:r w:rsidRPr="00141465">
        <w:rPr>
          <w:rFonts w:eastAsia="DengXian" w:cs="Arial"/>
          <w:sz w:val="22"/>
          <w:szCs w:val="22"/>
          <w:lang w:eastAsia="zh-CN"/>
        </w:rPr>
        <w:t>Indicator question SG 1.9 CC asks signatories to “Indicate whether there is an organisation-wide strategy in place to identify and manage material climate-related risks and opportunities” and describe the plan in place.</w:t>
      </w:r>
    </w:p>
    <w:p w:rsidR="00141465" w:rsidRPr="00141465" w:rsidRDefault="00141465" w:rsidP="00141465">
      <w:pPr>
        <w:snapToGrid w:val="0"/>
        <w:spacing w:line="0" w:lineRule="atLeast"/>
        <w:rPr>
          <w:rFonts w:eastAsia="DengXian" w:cs="Arial"/>
          <w:sz w:val="22"/>
          <w:szCs w:val="22"/>
          <w:lang w:eastAsia="zh-CN"/>
        </w:rPr>
      </w:pPr>
      <w:r w:rsidRPr="00141465">
        <w:rPr>
          <w:rFonts w:eastAsia="DengXian" w:cs="Arial"/>
          <w:sz w:val="22"/>
          <w:szCs w:val="22"/>
          <w:lang w:eastAsia="zh-CN"/>
        </w:rPr>
        <w:t>Having board oversight and clear management processes in place is a key Taskforce recommendation. Hence, “organisation wide strategy” refers to implementing the TCFD recommendations needing to cover all portfolios and / or products and not standalone ESG schemes.</w:t>
      </w:r>
    </w:p>
    <w:p w:rsidR="00141465" w:rsidRPr="00141465" w:rsidRDefault="00141465" w:rsidP="00141465">
      <w:pPr>
        <w:snapToGrid w:val="0"/>
        <w:spacing w:line="0" w:lineRule="atLeast"/>
        <w:rPr>
          <w:rFonts w:eastAsia="DengXian" w:cs="Arial"/>
          <w:b/>
          <w:sz w:val="22"/>
          <w:szCs w:val="22"/>
          <w:lang w:eastAsia="zh-CN"/>
        </w:rPr>
      </w:pPr>
    </w:p>
    <w:p w:rsidR="00141465" w:rsidRPr="00141465" w:rsidRDefault="00141465" w:rsidP="00141465">
      <w:pPr>
        <w:snapToGrid w:val="0"/>
        <w:spacing w:line="0" w:lineRule="atLeast"/>
        <w:rPr>
          <w:rFonts w:eastAsia="DengXian" w:cs="Arial"/>
          <w:b/>
          <w:sz w:val="22"/>
          <w:szCs w:val="22"/>
          <w:lang w:eastAsia="zh-CN"/>
        </w:rPr>
      </w:pPr>
      <w:r w:rsidRPr="00141465">
        <w:rPr>
          <w:rFonts w:eastAsia="DengXian" w:cs="Arial"/>
          <w:b/>
          <w:sz w:val="22"/>
          <w:szCs w:val="22"/>
          <w:lang w:eastAsia="zh-CN"/>
        </w:rPr>
        <w:lastRenderedPageBreak/>
        <w:t>Q10: What is the difference between SG 1.6 CC and SG 13.6 CC?</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lang w:eastAsia="zh-CN"/>
        </w:rPr>
      </w:pPr>
      <w:r w:rsidRPr="00141465">
        <w:rPr>
          <w:rFonts w:eastAsia="DengXian" w:cs="Arial"/>
          <w:sz w:val="22"/>
          <w:szCs w:val="22"/>
          <w:lang w:eastAsia="zh-CN"/>
        </w:rPr>
        <w:t>Indicator SG 1.6 CC asks:</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ind w:left="720"/>
        <w:rPr>
          <w:rFonts w:eastAsia="DengXian" w:cs="Arial"/>
          <w:sz w:val="22"/>
          <w:szCs w:val="22"/>
          <w:lang w:eastAsia="zh-CN"/>
        </w:rPr>
      </w:pPr>
      <w:r w:rsidRPr="00141465">
        <w:rPr>
          <w:rFonts w:eastAsia="DengXian" w:cs="Arial"/>
          <w:sz w:val="22"/>
          <w:szCs w:val="22"/>
          <w:lang w:eastAsia="zh-CN"/>
        </w:rPr>
        <w:t xml:space="preserve">“[Describe] </w:t>
      </w:r>
      <w:r w:rsidRPr="00141465">
        <w:rPr>
          <w:rFonts w:eastAsia="DengXian" w:cs="Arial"/>
          <w:i/>
          <w:sz w:val="22"/>
          <w:szCs w:val="22"/>
          <w:lang w:eastAsia="zh-CN"/>
        </w:rPr>
        <w:t>whether your organisation has identified transition and physical climate-related risks and opportunities and whether this has been factored into the investment strategies and products, within the organisation’s investment time horizon</w:t>
      </w:r>
      <w:r w:rsidRPr="00141465">
        <w:rPr>
          <w:rFonts w:eastAsia="DengXian" w:cs="Arial"/>
          <w:sz w:val="22"/>
          <w:szCs w:val="22"/>
          <w:lang w:eastAsia="zh-CN"/>
        </w:rPr>
        <w:t xml:space="preserve">”.  </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lang w:eastAsia="zh-CN"/>
        </w:rPr>
      </w:pPr>
      <w:r w:rsidRPr="00141465">
        <w:rPr>
          <w:rFonts w:eastAsia="DengXian" w:cs="Arial"/>
          <w:sz w:val="22"/>
          <w:szCs w:val="22"/>
          <w:lang w:eastAsia="zh-CN"/>
        </w:rPr>
        <w:t>And SG 13.6 CC:</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ind w:left="720"/>
        <w:rPr>
          <w:rFonts w:eastAsia="DengXian" w:cs="Arial"/>
          <w:sz w:val="22"/>
          <w:szCs w:val="22"/>
          <w:lang w:eastAsia="zh-CN"/>
        </w:rPr>
      </w:pPr>
      <w:r w:rsidRPr="00141465">
        <w:rPr>
          <w:rFonts w:eastAsia="DengXian" w:cs="Arial"/>
          <w:sz w:val="22"/>
          <w:szCs w:val="22"/>
          <w:lang w:eastAsia="zh-CN"/>
        </w:rPr>
        <w:t xml:space="preserve">“[Describe] </w:t>
      </w:r>
      <w:r w:rsidRPr="00141465">
        <w:rPr>
          <w:rFonts w:eastAsia="DengXian" w:cs="Arial"/>
          <w:i/>
          <w:sz w:val="22"/>
          <w:szCs w:val="22"/>
          <w:lang w:eastAsia="zh-CN"/>
        </w:rPr>
        <w:t>whether your organisation has evaluated the potential impact of climate-related risks, beyond the investment time horizon, on its investment strategy</w:t>
      </w:r>
      <w:r w:rsidRPr="00141465">
        <w:rPr>
          <w:rFonts w:eastAsia="DengXian" w:cs="Arial"/>
          <w:sz w:val="22"/>
          <w:szCs w:val="22"/>
          <w:lang w:eastAsia="zh-CN"/>
        </w:rPr>
        <w:t>.”</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lang w:eastAsia="zh-CN"/>
        </w:rPr>
      </w:pPr>
      <w:r w:rsidRPr="00141465">
        <w:rPr>
          <w:rFonts w:eastAsia="DengXian" w:cs="Arial"/>
          <w:sz w:val="22"/>
          <w:szCs w:val="22"/>
          <w:lang w:eastAsia="zh-CN"/>
        </w:rPr>
        <w:t>The difference of the two being the time frame of the analysis. A goal of TCFD is to bring a future risk (like climate change) into the present. The dose and delayed response characteristic of the earth’s climate system means that today’s emissions will take decades to reach the atmosphere and impact on society and the economy. As such the relying solely on historical data does not capture the financial risks posed by climate change and there is a need to assess over near to longer term time horizons.</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b/>
          <w:sz w:val="22"/>
          <w:szCs w:val="22"/>
          <w:lang w:eastAsia="zh-CN"/>
        </w:rPr>
      </w:pPr>
      <w:r w:rsidRPr="00141465">
        <w:rPr>
          <w:rFonts w:eastAsia="DengXian" w:cs="Arial"/>
          <w:b/>
          <w:sz w:val="22"/>
          <w:szCs w:val="22"/>
          <w:lang w:eastAsia="zh-CN"/>
        </w:rPr>
        <w:t>Q1</w:t>
      </w:r>
      <w:r w:rsidRPr="00141465">
        <w:rPr>
          <w:rFonts w:eastAsia="DengXian" w:cs="Arial"/>
          <w:b/>
          <w:sz w:val="22"/>
          <w:szCs w:val="22"/>
          <w:lang w:eastAsia="zh-CN"/>
        </w:rPr>
        <w:t>1</w:t>
      </w:r>
      <w:r w:rsidRPr="00141465">
        <w:rPr>
          <w:rFonts w:eastAsia="DengXian" w:cs="Arial"/>
          <w:b/>
          <w:sz w:val="22"/>
          <w:szCs w:val="22"/>
          <w:lang w:eastAsia="zh-CN"/>
        </w:rPr>
        <w:t>. Where can I find more resources on TCFD and PRI climate indicators?</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u w:val="single"/>
          <w:lang w:eastAsia="zh-CN"/>
        </w:rPr>
      </w:pPr>
      <w:r w:rsidRPr="00141465">
        <w:rPr>
          <w:rFonts w:eastAsia="DengXian" w:cs="Arial"/>
          <w:sz w:val="22"/>
          <w:szCs w:val="22"/>
          <w:u w:val="single"/>
          <w:lang w:eastAsia="zh-CN"/>
        </w:rPr>
        <w:t>PRI and external reports</w:t>
      </w:r>
    </w:p>
    <w:p w:rsidR="00141465" w:rsidRPr="00141465" w:rsidRDefault="00141465" w:rsidP="00141465">
      <w:pPr>
        <w:snapToGrid w:val="0"/>
        <w:spacing w:line="0" w:lineRule="atLeast"/>
        <w:rPr>
          <w:rFonts w:eastAsia="DengXian" w:cs="Arial"/>
          <w:sz w:val="22"/>
          <w:szCs w:val="22"/>
          <w:u w:val="single"/>
          <w:lang w:eastAsia="zh-CN"/>
        </w:rPr>
      </w:pPr>
    </w:p>
    <w:p w:rsidR="00141465" w:rsidRPr="00141465" w:rsidRDefault="00141465" w:rsidP="002019FB">
      <w:pPr>
        <w:numPr>
          <w:ilvl w:val="0"/>
          <w:numId w:val="18"/>
        </w:numPr>
        <w:snapToGrid w:val="0"/>
        <w:spacing w:after="160" w:line="0" w:lineRule="atLeast"/>
        <w:rPr>
          <w:rFonts w:eastAsia="DengXian" w:cs="Arial"/>
          <w:sz w:val="22"/>
          <w:szCs w:val="22"/>
          <w:lang w:eastAsia="zh-CN"/>
        </w:rPr>
      </w:pPr>
      <w:hyperlink r:id="rId34" w:tgtFrame="_blank" w:history="1">
        <w:r w:rsidRPr="00141465">
          <w:rPr>
            <w:rFonts w:eastAsia="DengXian" w:cs="Arial"/>
            <w:color w:val="0563C1"/>
            <w:sz w:val="22"/>
            <w:szCs w:val="22"/>
            <w:u w:val="single"/>
            <w:lang w:eastAsia="zh-CN"/>
          </w:rPr>
          <w:t>The PRI Asset Owner guide to TCFD</w:t>
        </w:r>
      </w:hyperlink>
      <w:r w:rsidRPr="00141465">
        <w:rPr>
          <w:rFonts w:eastAsia="DengXian" w:cs="Arial"/>
          <w:sz w:val="22"/>
          <w:szCs w:val="22"/>
          <w:lang w:eastAsia="zh-CN"/>
        </w:rPr>
        <w:t>: actions for asset owners, questions for consultants, investor examples and a chapter on climate scenarios.</w:t>
      </w:r>
    </w:p>
    <w:p w:rsidR="00141465" w:rsidRPr="00141465" w:rsidRDefault="00141465" w:rsidP="002019FB">
      <w:pPr>
        <w:numPr>
          <w:ilvl w:val="0"/>
          <w:numId w:val="18"/>
        </w:numPr>
        <w:snapToGrid w:val="0"/>
        <w:spacing w:after="160" w:line="0" w:lineRule="atLeast"/>
        <w:rPr>
          <w:rFonts w:eastAsia="DengXian" w:cs="Arial"/>
          <w:sz w:val="22"/>
          <w:szCs w:val="22"/>
          <w:lang w:eastAsia="zh-CN"/>
        </w:rPr>
      </w:pPr>
      <w:hyperlink r:id="rId35" w:history="1">
        <w:r w:rsidRPr="00141465">
          <w:rPr>
            <w:rFonts w:eastAsia="DengXian" w:cs="Arial"/>
            <w:color w:val="0563C1"/>
            <w:sz w:val="22"/>
            <w:szCs w:val="22"/>
            <w:u w:val="single"/>
            <w:lang w:eastAsia="zh-CN"/>
          </w:rPr>
          <w:t>The TCFD Knowledge Hub</w:t>
        </w:r>
      </w:hyperlink>
      <w:r w:rsidRPr="00141465">
        <w:rPr>
          <w:rFonts w:eastAsia="DengXian" w:cs="Arial"/>
          <w:sz w:val="22"/>
          <w:szCs w:val="22"/>
          <w:lang w:eastAsia="zh-CN"/>
        </w:rPr>
        <w:t>: an online portal for published resources on TCFD.</w:t>
      </w:r>
    </w:p>
    <w:p w:rsidR="00141465" w:rsidRPr="00141465" w:rsidRDefault="00141465" w:rsidP="002019FB">
      <w:pPr>
        <w:numPr>
          <w:ilvl w:val="0"/>
          <w:numId w:val="18"/>
        </w:numPr>
        <w:snapToGrid w:val="0"/>
        <w:spacing w:after="160" w:line="0" w:lineRule="atLeast"/>
        <w:rPr>
          <w:rFonts w:eastAsia="DengXian" w:cs="Arial"/>
          <w:sz w:val="22"/>
          <w:szCs w:val="22"/>
          <w:lang w:eastAsia="zh-CN"/>
        </w:rPr>
      </w:pPr>
      <w:hyperlink r:id="rId36" w:history="1">
        <w:r w:rsidRPr="00141465">
          <w:rPr>
            <w:rFonts w:eastAsia="DengXian" w:cs="Arial"/>
            <w:color w:val="0563C1"/>
            <w:sz w:val="22"/>
            <w:szCs w:val="22"/>
            <w:u w:val="single"/>
            <w:lang w:eastAsia="zh-CN"/>
          </w:rPr>
          <w:t>IIGCC’s Navigating climate scenario analysis</w:t>
        </w:r>
      </w:hyperlink>
      <w:r w:rsidRPr="00141465">
        <w:rPr>
          <w:rFonts w:eastAsia="DengXian" w:cs="Arial"/>
          <w:sz w:val="22"/>
          <w:szCs w:val="22"/>
          <w:lang w:eastAsia="zh-CN"/>
        </w:rPr>
        <w:t>: a guide for institutional investors.</w:t>
      </w:r>
    </w:p>
    <w:p w:rsidR="00141465" w:rsidRPr="00141465" w:rsidRDefault="00141465" w:rsidP="002019FB">
      <w:pPr>
        <w:numPr>
          <w:ilvl w:val="0"/>
          <w:numId w:val="18"/>
        </w:numPr>
        <w:snapToGrid w:val="0"/>
        <w:spacing w:after="160" w:line="0" w:lineRule="atLeast"/>
        <w:rPr>
          <w:rFonts w:eastAsia="DengXian" w:cs="Arial"/>
          <w:sz w:val="22"/>
          <w:szCs w:val="22"/>
          <w:lang w:eastAsia="zh-CN"/>
        </w:rPr>
      </w:pPr>
      <w:hyperlink r:id="rId37" w:history="1">
        <w:r w:rsidRPr="00141465">
          <w:rPr>
            <w:rFonts w:eastAsia="DengXian" w:cs="Arial"/>
            <w:color w:val="0563C1"/>
            <w:sz w:val="22"/>
            <w:szCs w:val="22"/>
            <w:u w:val="single"/>
            <w:lang w:eastAsia="zh-CN"/>
          </w:rPr>
          <w:t>UNEP-FI Changing Course</w:t>
        </w:r>
      </w:hyperlink>
      <w:r w:rsidRPr="00141465">
        <w:rPr>
          <w:rFonts w:eastAsia="DengXian" w:cs="Arial"/>
          <w:sz w:val="22"/>
          <w:szCs w:val="22"/>
          <w:lang w:eastAsia="zh-CN"/>
        </w:rPr>
        <w:t>: a guide to scenario-based methods for climate risk assessment.</w:t>
      </w:r>
    </w:p>
    <w:p w:rsidR="00141465" w:rsidRPr="00141465" w:rsidRDefault="00141465" w:rsidP="002019FB">
      <w:pPr>
        <w:numPr>
          <w:ilvl w:val="0"/>
          <w:numId w:val="18"/>
        </w:numPr>
        <w:snapToGrid w:val="0"/>
        <w:spacing w:after="160" w:line="0" w:lineRule="atLeast"/>
        <w:rPr>
          <w:rFonts w:eastAsia="DengXian" w:cs="Arial"/>
          <w:sz w:val="22"/>
          <w:szCs w:val="22"/>
          <w:lang w:eastAsia="zh-CN"/>
        </w:rPr>
      </w:pPr>
      <w:hyperlink r:id="rId38" w:history="1">
        <w:r w:rsidRPr="00141465">
          <w:rPr>
            <w:rFonts w:eastAsia="DengXian" w:cs="Arial"/>
            <w:color w:val="0563C1"/>
            <w:sz w:val="22"/>
            <w:szCs w:val="22"/>
            <w:u w:val="single"/>
            <w:lang w:eastAsia="zh-CN"/>
          </w:rPr>
          <w:t>Advancing TCFD guidance on physical climate risk and opportunities</w:t>
        </w:r>
      </w:hyperlink>
      <w:r w:rsidRPr="00141465">
        <w:rPr>
          <w:rFonts w:eastAsia="DengXian" w:cs="Arial"/>
          <w:sz w:val="22"/>
          <w:szCs w:val="22"/>
          <w:lang w:eastAsia="zh-CN"/>
        </w:rPr>
        <w:t xml:space="preserve">: report by EBRD and the Global Centre on Adaptation expands the TCFD’s guidance on physical climate risk </w:t>
      </w:r>
    </w:p>
    <w:p w:rsidR="00141465" w:rsidRPr="00141465" w:rsidRDefault="00141465" w:rsidP="00141465">
      <w:pPr>
        <w:snapToGrid w:val="0"/>
        <w:spacing w:line="0" w:lineRule="atLeast"/>
        <w:ind w:left="720"/>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u w:val="single"/>
          <w:lang w:eastAsia="zh-CN"/>
        </w:rPr>
      </w:pPr>
      <w:r w:rsidRPr="00141465">
        <w:rPr>
          <w:rFonts w:eastAsia="DengXian" w:cs="Arial"/>
          <w:sz w:val="22"/>
          <w:szCs w:val="22"/>
          <w:u w:val="single"/>
          <w:lang w:eastAsia="zh-CN"/>
        </w:rPr>
        <w:t>Climate scenario analysis</w:t>
      </w:r>
    </w:p>
    <w:p w:rsidR="00141465" w:rsidRPr="00141465" w:rsidRDefault="00141465" w:rsidP="002019FB">
      <w:pPr>
        <w:numPr>
          <w:ilvl w:val="0"/>
          <w:numId w:val="19"/>
        </w:numPr>
        <w:snapToGrid w:val="0"/>
        <w:spacing w:after="160" w:line="0" w:lineRule="atLeast"/>
        <w:rPr>
          <w:rFonts w:eastAsia="DengXian" w:cs="Arial"/>
          <w:sz w:val="22"/>
          <w:szCs w:val="22"/>
          <w:lang w:eastAsia="zh-CN"/>
        </w:rPr>
      </w:pPr>
      <w:hyperlink r:id="rId39" w:tgtFrame="_blank" w:history="1">
        <w:r w:rsidRPr="00141465">
          <w:rPr>
            <w:rFonts w:eastAsia="DengXian" w:cs="Arial"/>
            <w:color w:val="0563C1"/>
            <w:sz w:val="22"/>
            <w:szCs w:val="22"/>
            <w:u w:val="single"/>
            <w:lang w:eastAsia="zh-CN"/>
          </w:rPr>
          <w:t>Directory of climate scenario tools:</w:t>
        </w:r>
      </w:hyperlink>
      <w:r w:rsidRPr="00141465">
        <w:rPr>
          <w:rFonts w:eastAsia="DengXian" w:cs="Arial"/>
          <w:sz w:val="22"/>
          <w:szCs w:val="22"/>
          <w:lang w:eastAsia="zh-CN"/>
        </w:rPr>
        <w:t> Free-to-use and commercially available climate scenario tools can help make it easier for investors to implement a key recommendation of the TCFD – scenario planning.</w:t>
      </w:r>
    </w:p>
    <w:p w:rsidR="00141465" w:rsidRPr="00141465" w:rsidRDefault="00141465" w:rsidP="002019FB">
      <w:pPr>
        <w:numPr>
          <w:ilvl w:val="0"/>
          <w:numId w:val="19"/>
        </w:numPr>
        <w:snapToGrid w:val="0"/>
        <w:spacing w:after="160" w:line="0" w:lineRule="atLeast"/>
        <w:rPr>
          <w:rFonts w:eastAsia="DengXian" w:cs="Arial"/>
          <w:sz w:val="22"/>
          <w:szCs w:val="22"/>
          <w:lang w:eastAsia="zh-CN"/>
        </w:rPr>
      </w:pPr>
      <w:hyperlink r:id="rId40" w:tgtFrame="_blank" w:history="1">
        <w:r w:rsidRPr="00141465">
          <w:rPr>
            <w:rFonts w:eastAsia="DengXian" w:cs="Arial"/>
            <w:color w:val="0563C1"/>
            <w:sz w:val="22"/>
            <w:szCs w:val="22"/>
            <w:u w:val="single"/>
            <w:lang w:eastAsia="zh-CN"/>
          </w:rPr>
          <w:t>Table of reference climate scenarios:</w:t>
        </w:r>
      </w:hyperlink>
      <w:r w:rsidRPr="00141465">
        <w:rPr>
          <w:rFonts w:eastAsia="DengXian" w:cs="Arial"/>
          <w:sz w:val="22"/>
          <w:szCs w:val="22"/>
          <w:lang w:eastAsia="zh-CN"/>
        </w:rPr>
        <w:t> PRI Reporting Framework Indicator SG 13.8CC invites signatories to select which climate reference scenarios they use from a list. </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u w:val="single"/>
          <w:lang w:eastAsia="zh-CN"/>
        </w:rPr>
      </w:pPr>
      <w:r w:rsidRPr="00141465">
        <w:rPr>
          <w:rFonts w:eastAsia="DengXian" w:cs="Arial"/>
          <w:sz w:val="22"/>
          <w:szCs w:val="22"/>
          <w:u w:val="single"/>
          <w:lang w:eastAsia="zh-CN"/>
        </w:rPr>
        <w:t>PRI signatory reporting on the 2019 climate indicators</w:t>
      </w:r>
    </w:p>
    <w:p w:rsidR="00141465" w:rsidRPr="00141465" w:rsidRDefault="00141465" w:rsidP="002019FB">
      <w:pPr>
        <w:numPr>
          <w:ilvl w:val="0"/>
          <w:numId w:val="20"/>
        </w:numPr>
        <w:snapToGrid w:val="0"/>
        <w:spacing w:after="160" w:line="0" w:lineRule="atLeast"/>
        <w:rPr>
          <w:rFonts w:eastAsia="DengXian" w:cs="Arial"/>
          <w:sz w:val="22"/>
          <w:szCs w:val="22"/>
          <w:lang w:eastAsia="zh-CN"/>
        </w:rPr>
      </w:pPr>
      <w:hyperlink r:id="rId41" w:history="1">
        <w:r w:rsidRPr="00141465">
          <w:rPr>
            <w:rFonts w:eastAsia="DengXian" w:cs="Arial"/>
            <w:color w:val="0563C1"/>
            <w:sz w:val="22"/>
            <w:szCs w:val="22"/>
            <w:u w:val="single"/>
            <w:lang w:eastAsia="zh-CN"/>
          </w:rPr>
          <w:t>Climate snapshot report</w:t>
        </w:r>
      </w:hyperlink>
      <w:r w:rsidRPr="00141465">
        <w:rPr>
          <w:rFonts w:eastAsia="DengXian" w:cs="Arial"/>
          <w:sz w:val="22"/>
          <w:szCs w:val="22"/>
          <w:lang w:eastAsia="zh-CN"/>
        </w:rPr>
        <w:t>: analysis of investors’ response to the PRI 2019 climate risk indicators</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pPr>
        <w:ind w:left="357" w:hanging="357"/>
        <w:rPr>
          <w:rFonts w:eastAsia="DengXian" w:cs="Arial"/>
          <w:sz w:val="22"/>
          <w:szCs w:val="22"/>
          <w:u w:val="single"/>
          <w:lang w:eastAsia="zh-CN"/>
        </w:rPr>
      </w:pPr>
      <w:r w:rsidRPr="00141465">
        <w:rPr>
          <w:rFonts w:eastAsia="DengXian" w:cs="Arial"/>
          <w:sz w:val="22"/>
          <w:szCs w:val="22"/>
          <w:u w:val="single"/>
          <w:lang w:eastAsia="zh-CN"/>
        </w:rPr>
        <w:br w:type="page"/>
      </w:r>
    </w:p>
    <w:p w:rsidR="00141465" w:rsidRPr="00141465" w:rsidRDefault="00141465" w:rsidP="00141465">
      <w:pPr>
        <w:snapToGrid w:val="0"/>
        <w:spacing w:line="0" w:lineRule="atLeast"/>
        <w:rPr>
          <w:rFonts w:eastAsia="DengXian" w:cs="Arial"/>
          <w:sz w:val="22"/>
          <w:szCs w:val="22"/>
          <w:u w:val="single"/>
          <w:lang w:eastAsia="zh-CN"/>
        </w:rPr>
      </w:pPr>
      <w:r w:rsidRPr="00141465">
        <w:rPr>
          <w:rFonts w:eastAsia="DengXian" w:cs="Arial"/>
          <w:sz w:val="22"/>
          <w:szCs w:val="22"/>
          <w:u w:val="single"/>
          <w:lang w:eastAsia="zh-CN"/>
        </w:rPr>
        <w:lastRenderedPageBreak/>
        <w:t>Webinars</w:t>
      </w:r>
    </w:p>
    <w:p w:rsidR="00141465" w:rsidRPr="00141465" w:rsidRDefault="00141465" w:rsidP="002019FB">
      <w:pPr>
        <w:numPr>
          <w:ilvl w:val="0"/>
          <w:numId w:val="21"/>
        </w:numPr>
        <w:snapToGrid w:val="0"/>
        <w:spacing w:after="160" w:line="0" w:lineRule="atLeast"/>
        <w:rPr>
          <w:rFonts w:eastAsia="DengXian" w:cs="Arial"/>
          <w:sz w:val="22"/>
          <w:szCs w:val="22"/>
          <w:lang w:eastAsia="zh-CN"/>
        </w:rPr>
      </w:pPr>
      <w:hyperlink r:id="rId42" w:history="1">
        <w:r w:rsidRPr="00141465">
          <w:rPr>
            <w:rFonts w:eastAsia="DengXian" w:cs="Arial"/>
            <w:color w:val="0563C1"/>
            <w:sz w:val="22"/>
            <w:szCs w:val="22"/>
            <w:u w:val="single"/>
            <w:lang w:eastAsia="zh-CN"/>
          </w:rPr>
          <w:t>The TCFD recommendations and the 2020 PRI reporting cycle</w:t>
        </w:r>
      </w:hyperlink>
      <w:r w:rsidRPr="00141465">
        <w:rPr>
          <w:rFonts w:eastAsia="DengXian" w:cs="Arial"/>
          <w:sz w:val="22"/>
          <w:szCs w:val="22"/>
          <w:lang w:eastAsia="zh-CN"/>
        </w:rPr>
        <w:t>: overview of TCFD and 2020 PRI climate reporting framework</w:t>
      </w:r>
    </w:p>
    <w:p w:rsidR="00141465" w:rsidRPr="00141465" w:rsidRDefault="00141465" w:rsidP="002019FB">
      <w:pPr>
        <w:numPr>
          <w:ilvl w:val="0"/>
          <w:numId w:val="21"/>
        </w:numPr>
        <w:snapToGrid w:val="0"/>
        <w:spacing w:after="160" w:line="0" w:lineRule="atLeast"/>
        <w:rPr>
          <w:rFonts w:eastAsia="DengXian" w:cs="Arial"/>
          <w:sz w:val="22"/>
          <w:szCs w:val="22"/>
          <w:lang w:eastAsia="zh-CN"/>
        </w:rPr>
      </w:pPr>
      <w:hyperlink r:id="rId43" w:history="1">
        <w:r w:rsidRPr="00141465">
          <w:rPr>
            <w:rFonts w:eastAsia="DengXian" w:cs="Arial"/>
            <w:color w:val="0563C1"/>
            <w:sz w:val="22"/>
            <w:szCs w:val="22"/>
            <w:u w:val="single"/>
            <w:lang w:eastAsia="zh-CN"/>
          </w:rPr>
          <w:t>Climate scenario analysis and PACTA</w:t>
        </w:r>
      </w:hyperlink>
      <w:r w:rsidRPr="00141465">
        <w:rPr>
          <w:rFonts w:eastAsia="DengXian" w:cs="Arial"/>
          <w:sz w:val="22"/>
          <w:szCs w:val="22"/>
          <w:lang w:eastAsia="zh-CN"/>
        </w:rPr>
        <w:t>: overview of climate scenarios, PACTA and California Insurance Commissioner.</w:t>
      </w:r>
    </w:p>
    <w:p w:rsidR="00141465" w:rsidRPr="00141465" w:rsidRDefault="00141465" w:rsidP="002019FB">
      <w:pPr>
        <w:numPr>
          <w:ilvl w:val="0"/>
          <w:numId w:val="22"/>
        </w:numPr>
        <w:snapToGrid w:val="0"/>
        <w:spacing w:after="160" w:line="0" w:lineRule="atLeast"/>
        <w:rPr>
          <w:rFonts w:eastAsia="DengXian" w:cs="Arial"/>
          <w:sz w:val="22"/>
          <w:szCs w:val="22"/>
          <w:lang w:eastAsia="zh-CN"/>
        </w:rPr>
      </w:pPr>
      <w:hyperlink r:id="rId44" w:history="1">
        <w:r w:rsidRPr="00141465">
          <w:rPr>
            <w:rFonts w:eastAsia="DengXian" w:cs="Arial"/>
            <w:color w:val="0563C1"/>
            <w:sz w:val="22"/>
            <w:szCs w:val="22"/>
            <w:u w:val="single"/>
            <w:lang w:eastAsia="zh-CN"/>
          </w:rPr>
          <w:t>TCFD: leaders and challenges</w:t>
        </w:r>
      </w:hyperlink>
      <w:r w:rsidRPr="00141465">
        <w:rPr>
          <w:rFonts w:eastAsia="DengXian" w:cs="Arial"/>
          <w:sz w:val="22"/>
          <w:szCs w:val="22"/>
          <w:lang w:eastAsia="zh-CN"/>
        </w:rPr>
        <w:t xml:space="preserve">: joint webinar with the </w:t>
      </w:r>
      <w:proofErr w:type="spellStart"/>
      <w:r w:rsidRPr="00141465">
        <w:rPr>
          <w:rFonts w:eastAsia="DengXian" w:cs="Arial"/>
          <w:sz w:val="22"/>
          <w:szCs w:val="22"/>
          <w:lang w:eastAsia="zh-CN"/>
        </w:rPr>
        <w:t>IFoA</w:t>
      </w:r>
      <w:proofErr w:type="spellEnd"/>
      <w:r w:rsidRPr="00141465">
        <w:rPr>
          <w:rFonts w:eastAsia="DengXian" w:cs="Arial"/>
          <w:sz w:val="22"/>
          <w:szCs w:val="22"/>
          <w:lang w:eastAsia="zh-CN"/>
        </w:rPr>
        <w:t>, Aviva and Carbon Delta</w:t>
      </w: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lang w:eastAsia="zh-CN"/>
        </w:rPr>
      </w:pPr>
    </w:p>
    <w:p w:rsidR="00141465" w:rsidRPr="00141465" w:rsidRDefault="00141465" w:rsidP="00141465">
      <w:pPr>
        <w:snapToGrid w:val="0"/>
        <w:spacing w:line="0" w:lineRule="atLeast"/>
        <w:rPr>
          <w:rFonts w:eastAsia="DengXian" w:cs="Arial"/>
          <w:sz w:val="22"/>
          <w:szCs w:val="22"/>
          <w:lang w:eastAsia="zh-CN"/>
        </w:rPr>
      </w:pPr>
    </w:p>
    <w:p w:rsidR="002A6D8B" w:rsidRPr="00141465" w:rsidRDefault="002A6D8B" w:rsidP="002A6D8B">
      <w:pPr>
        <w:ind w:firstLine="720"/>
        <w:rPr>
          <w:rFonts w:cs="Arial"/>
          <w:sz w:val="22"/>
          <w:szCs w:val="22"/>
        </w:rPr>
      </w:pPr>
    </w:p>
    <w:sectPr w:rsidR="002A6D8B" w:rsidRPr="00141465" w:rsidSect="00AB69B0">
      <w:footerReference w:type="default" r:id="rId45"/>
      <w:headerReference w:type="first" r:id="rId46"/>
      <w:footerReference w:type="first" r:id="rId47"/>
      <w:pgSz w:w="11900" w:h="16840"/>
      <w:pgMar w:top="1276" w:right="1616" w:bottom="1560" w:left="161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9FB" w:rsidRDefault="002019FB" w:rsidP="00936049">
      <w:r>
        <w:separator/>
      </w:r>
    </w:p>
  </w:endnote>
  <w:endnote w:type="continuationSeparator" w:id="0">
    <w:p w:rsidR="002019FB" w:rsidRDefault="002019FB" w:rsidP="009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right Sans Regular">
    <w:altName w:val="Arial"/>
    <w:panose1 w:val="00000000000000000000"/>
    <w:charset w:val="00"/>
    <w:family w:val="modern"/>
    <w:notTrueType/>
    <w:pitch w:val="variable"/>
    <w:sig w:usb0="0000008F" w:usb1="00000001" w:usb2="00000000" w:usb3="00000000" w:csb0="0000000B" w:csb1="00000000"/>
  </w:font>
  <w:font w:name="Alright Sans Regular Italic">
    <w:panose1 w:val="00000000000000000000"/>
    <w:charset w:val="00"/>
    <w:family w:val="modern"/>
    <w:notTrueType/>
    <w:pitch w:val="variable"/>
    <w:sig w:usb0="0000008F" w:usb1="00000001" w:usb2="00000000" w:usb3="00000000" w:csb0="0000000B" w:csb1="00000000"/>
  </w:font>
  <w:font w:name="Times">
    <w:altName w:val="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lright Sans Light">
    <w:altName w:val="Arial"/>
    <w:panose1 w:val="00000000000000000000"/>
    <w:charset w:val="00"/>
    <w:family w:val="modern"/>
    <w:notTrueType/>
    <w:pitch w:val="variable"/>
    <w:sig w:usb0="0000008F" w:usb1="00000001"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AA0" w:rsidRPr="0098553C" w:rsidRDefault="00EF3AA0" w:rsidP="00F35021">
    <w:pPr>
      <w:pStyle w:val="Footer"/>
      <w:framePr w:w="11854" w:wrap="around" w:vAnchor="text" w:hAnchor="page" w:x="59" w:y="501"/>
      <w:jc w:val="center"/>
      <w:rPr>
        <w:rStyle w:val="PageNumber"/>
        <w:rFonts w:ascii="Alright Sans Light" w:hAnsi="Alright Sans Light"/>
        <w:color w:val="808080"/>
      </w:rPr>
    </w:pPr>
    <w:r w:rsidRPr="0098553C">
      <w:rPr>
        <w:rStyle w:val="PageNumber"/>
        <w:rFonts w:ascii="Alright Sans Light" w:hAnsi="Alright Sans Light"/>
        <w:color w:val="808080"/>
      </w:rPr>
      <w:fldChar w:fldCharType="begin"/>
    </w:r>
    <w:r w:rsidRPr="0098553C">
      <w:rPr>
        <w:rStyle w:val="PageNumber"/>
        <w:rFonts w:ascii="Alright Sans Light" w:hAnsi="Alright Sans Light"/>
        <w:color w:val="808080"/>
      </w:rPr>
      <w:instrText xml:space="preserve">PAGE  </w:instrText>
    </w:r>
    <w:r w:rsidRPr="0098553C">
      <w:rPr>
        <w:rStyle w:val="PageNumber"/>
        <w:rFonts w:ascii="Alright Sans Light" w:hAnsi="Alright Sans Light"/>
        <w:color w:val="808080"/>
      </w:rPr>
      <w:fldChar w:fldCharType="separate"/>
    </w:r>
    <w:r>
      <w:rPr>
        <w:rStyle w:val="PageNumber"/>
        <w:rFonts w:ascii="Alright Sans Light" w:hAnsi="Alright Sans Light"/>
        <w:noProof/>
        <w:color w:val="808080"/>
      </w:rPr>
      <w:t>3</w:t>
    </w:r>
    <w:r w:rsidRPr="0098553C">
      <w:rPr>
        <w:rStyle w:val="PageNumber"/>
        <w:rFonts w:ascii="Alright Sans Light" w:hAnsi="Alright Sans Light"/>
        <w:color w:val="808080"/>
      </w:rPr>
      <w:fldChar w:fldCharType="end"/>
    </w:r>
  </w:p>
  <w:p w:rsidR="00EF3AA0" w:rsidRDefault="00EF3AA0" w:rsidP="00EA097C">
    <w:pPr>
      <w:pStyle w:val="Footer"/>
      <w:tabs>
        <w:tab w:val="clear" w:pos="4320"/>
        <w:tab w:val="clear" w:pos="8640"/>
        <w:tab w:val="left" w:pos="7485"/>
        <w:tab w:val="right" w:pos="8668"/>
      </w:tabs>
    </w:pPr>
    <w:r>
      <w:rPr>
        <w:noProof/>
        <w:lang w:eastAsia="en-GB"/>
      </w:rPr>
      <w:drawing>
        <wp:anchor distT="0" distB="0" distL="114300" distR="114300" simplePos="0" relativeHeight="251656704" behindDoc="1" locked="0" layoutInCell="1" allowOverlap="1" wp14:anchorId="175B0D9A" wp14:editId="1B258153">
          <wp:simplePos x="0" y="0"/>
          <wp:positionH relativeFrom="page">
            <wp:posOffset>-6045200</wp:posOffset>
          </wp:positionH>
          <wp:positionV relativeFrom="page">
            <wp:posOffset>9279255</wp:posOffset>
          </wp:positionV>
          <wp:extent cx="9175750" cy="1424342"/>
          <wp:effectExtent l="0" t="0" r="6350" b="4445"/>
          <wp:wrapTight wrapText="bothSides">
            <wp:wrapPolygon edited="0">
              <wp:start x="0" y="0"/>
              <wp:lineTo x="0" y="21379"/>
              <wp:lineTo x="21570" y="21379"/>
              <wp:lineTo x="21570"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Max:Desktop:PRI:12.02.23 PRI Letterhead:Archive:Resource:Images:Word:PRI_Letterhead_subPage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75750" cy="142434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AA0" w:rsidRDefault="00EF3AA0" w:rsidP="00DF453C">
    <w:pPr>
      <w:pStyle w:val="Footer"/>
      <w:tabs>
        <w:tab w:val="clear" w:pos="4320"/>
        <w:tab w:val="clear" w:pos="8640"/>
        <w:tab w:val="left" w:pos="5520"/>
      </w:tabs>
    </w:pPr>
    <w:r>
      <w:rPr>
        <w:noProof/>
        <w:lang w:eastAsia="en-GB"/>
      </w:rPr>
      <w:drawing>
        <wp:anchor distT="0" distB="0" distL="114300" distR="114300" simplePos="0" relativeHeight="251660800" behindDoc="0" locked="0" layoutInCell="1" allowOverlap="1" wp14:anchorId="3AD4E025" wp14:editId="13A7B34D">
          <wp:simplePos x="0" y="0"/>
          <wp:positionH relativeFrom="page">
            <wp:posOffset>3575050</wp:posOffset>
          </wp:positionH>
          <wp:positionV relativeFrom="page">
            <wp:posOffset>9678406</wp:posOffset>
          </wp:positionV>
          <wp:extent cx="3981600" cy="8820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2014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981600" cy="882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23964BDE" wp14:editId="57E954A5">
          <wp:simplePos x="0" y="0"/>
          <wp:positionH relativeFrom="page">
            <wp:align>left</wp:align>
          </wp:positionH>
          <wp:positionV relativeFrom="page">
            <wp:align>bottom</wp:align>
          </wp:positionV>
          <wp:extent cx="2919600" cy="8820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2014 -Address.jpg"/>
                  <pic:cNvPicPr/>
                </pic:nvPicPr>
                <pic:blipFill>
                  <a:blip r:embed="rId2">
                    <a:extLst>
                      <a:ext uri="{28A0092B-C50C-407E-A947-70E740481C1C}">
                        <a14:useLocalDpi xmlns:a14="http://schemas.microsoft.com/office/drawing/2010/main" val="0"/>
                      </a:ext>
                    </a:extLst>
                  </a:blip>
                  <a:stretch>
                    <a:fillRect/>
                  </a:stretch>
                </pic:blipFill>
                <pic:spPr>
                  <a:xfrm>
                    <a:off x="0" y="0"/>
                    <a:ext cx="2919600" cy="88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9FB" w:rsidRDefault="002019FB" w:rsidP="00936049">
      <w:r>
        <w:separator/>
      </w:r>
    </w:p>
  </w:footnote>
  <w:footnote w:type="continuationSeparator" w:id="0">
    <w:p w:rsidR="002019FB" w:rsidRDefault="002019FB" w:rsidP="0093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AA0" w:rsidRDefault="00EF3AA0" w:rsidP="00F14FE0">
    <w:pPr>
      <w:pStyle w:val="Header"/>
      <w:tabs>
        <w:tab w:val="clear" w:pos="4320"/>
        <w:tab w:val="clear" w:pos="8640"/>
        <w:tab w:val="left" w:pos="5190"/>
      </w:tabs>
    </w:pPr>
    <w:r>
      <w:rPr>
        <w:noProof/>
        <w:lang w:eastAsia="en-GB"/>
      </w:rPr>
      <w:drawing>
        <wp:anchor distT="0" distB="0" distL="114300" distR="114300" simplePos="0" relativeHeight="251657728" behindDoc="1" locked="0" layoutInCell="1" allowOverlap="1" wp14:anchorId="08DEFF5C" wp14:editId="6DF7145B">
          <wp:simplePos x="0" y="0"/>
          <wp:positionH relativeFrom="page">
            <wp:posOffset>387350</wp:posOffset>
          </wp:positionH>
          <wp:positionV relativeFrom="page">
            <wp:posOffset>115570</wp:posOffset>
          </wp:positionV>
          <wp:extent cx="7287260" cy="1314938"/>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7260" cy="131493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881E84"/>
    <w:lvl w:ilvl="0">
      <w:start w:val="1"/>
      <w:numFmt w:val="decimal"/>
      <w:pStyle w:val="ListNumber5"/>
      <w:lvlText w:val="%1."/>
      <w:lvlJc w:val="left"/>
      <w:pPr>
        <w:tabs>
          <w:tab w:val="num" w:pos="340"/>
        </w:tabs>
        <w:ind w:left="340" w:hanging="340"/>
      </w:pPr>
      <w:rPr>
        <w:rFonts w:hint="default"/>
      </w:rPr>
    </w:lvl>
  </w:abstractNum>
  <w:abstractNum w:abstractNumId="1" w15:restartNumberingAfterBreak="0">
    <w:nsid w:val="FFFFFF7D"/>
    <w:multiLevelType w:val="singleLevel"/>
    <w:tmpl w:val="061A906C"/>
    <w:lvl w:ilvl="0">
      <w:start w:val="1"/>
      <w:numFmt w:val="decimal"/>
      <w:pStyle w:val="ListNumber4"/>
      <w:lvlText w:val="%1."/>
      <w:lvlJc w:val="left"/>
      <w:pPr>
        <w:tabs>
          <w:tab w:val="num" w:pos="340"/>
        </w:tabs>
        <w:ind w:left="340" w:hanging="340"/>
      </w:pPr>
      <w:rPr>
        <w:rFonts w:hint="default"/>
      </w:rPr>
    </w:lvl>
  </w:abstractNum>
  <w:abstractNum w:abstractNumId="2" w15:restartNumberingAfterBreak="0">
    <w:nsid w:val="FFFFFF7E"/>
    <w:multiLevelType w:val="singleLevel"/>
    <w:tmpl w:val="3DD6848A"/>
    <w:lvl w:ilvl="0">
      <w:start w:val="1"/>
      <w:numFmt w:val="decimal"/>
      <w:pStyle w:val="ListNumber3"/>
      <w:lvlText w:val="%1."/>
      <w:lvlJc w:val="left"/>
      <w:pPr>
        <w:tabs>
          <w:tab w:val="num" w:pos="340"/>
        </w:tabs>
        <w:ind w:left="340" w:hanging="340"/>
      </w:pPr>
      <w:rPr>
        <w:rFonts w:hint="default"/>
      </w:rPr>
    </w:lvl>
  </w:abstractNum>
  <w:abstractNum w:abstractNumId="3" w15:restartNumberingAfterBreak="0">
    <w:nsid w:val="FFFFFF7F"/>
    <w:multiLevelType w:val="singleLevel"/>
    <w:tmpl w:val="61C8C650"/>
    <w:lvl w:ilvl="0">
      <w:start w:val="1"/>
      <w:numFmt w:val="decimal"/>
      <w:pStyle w:val="ListNumber2"/>
      <w:lvlText w:val="%1."/>
      <w:lvlJc w:val="left"/>
      <w:pPr>
        <w:tabs>
          <w:tab w:val="num" w:pos="340"/>
        </w:tabs>
        <w:ind w:left="340" w:hanging="340"/>
      </w:pPr>
      <w:rPr>
        <w:rFonts w:hint="default"/>
      </w:rPr>
    </w:lvl>
  </w:abstractNum>
  <w:abstractNum w:abstractNumId="4" w15:restartNumberingAfterBreak="0">
    <w:nsid w:val="FFFFFF80"/>
    <w:multiLevelType w:val="singleLevel"/>
    <w:tmpl w:val="12CA2504"/>
    <w:lvl w:ilvl="0">
      <w:start w:val="1"/>
      <w:numFmt w:val="bullet"/>
      <w:pStyle w:val="ListBullet5"/>
      <w:lvlText w:val="■"/>
      <w:lvlJc w:val="left"/>
      <w:pPr>
        <w:ind w:left="1492" w:hanging="360"/>
      </w:pPr>
      <w:rPr>
        <w:rFonts w:ascii="Arial" w:hAnsi="Arial" w:hint="default"/>
        <w:color w:val="808080" w:themeColor="background1" w:themeShade="80"/>
      </w:rPr>
    </w:lvl>
  </w:abstractNum>
  <w:abstractNum w:abstractNumId="5" w15:restartNumberingAfterBreak="0">
    <w:nsid w:val="FFFFFF81"/>
    <w:multiLevelType w:val="singleLevel"/>
    <w:tmpl w:val="EF2AB9E8"/>
    <w:lvl w:ilvl="0">
      <w:start w:val="1"/>
      <w:numFmt w:val="bullet"/>
      <w:pStyle w:val="ListBullet4"/>
      <w:lvlText w:val="■"/>
      <w:lvlJc w:val="left"/>
      <w:pPr>
        <w:ind w:left="1209" w:hanging="360"/>
      </w:pPr>
      <w:rPr>
        <w:rFonts w:ascii="Arial" w:hAnsi="Arial" w:hint="default"/>
        <w:color w:val="808080" w:themeColor="background1" w:themeShade="80"/>
      </w:rPr>
    </w:lvl>
  </w:abstractNum>
  <w:abstractNum w:abstractNumId="6" w15:restartNumberingAfterBreak="0">
    <w:nsid w:val="FFFFFF82"/>
    <w:multiLevelType w:val="singleLevel"/>
    <w:tmpl w:val="3788CD2E"/>
    <w:lvl w:ilvl="0">
      <w:start w:val="1"/>
      <w:numFmt w:val="bullet"/>
      <w:pStyle w:val="ListBullet3"/>
      <w:lvlText w:val="■"/>
      <w:lvlJc w:val="left"/>
      <w:pPr>
        <w:ind w:left="926" w:hanging="360"/>
      </w:pPr>
      <w:rPr>
        <w:rFonts w:ascii="Arial" w:hAnsi="Arial" w:hint="default"/>
        <w:color w:val="808080" w:themeColor="background1" w:themeShade="80"/>
      </w:rPr>
    </w:lvl>
  </w:abstractNum>
  <w:abstractNum w:abstractNumId="7" w15:restartNumberingAfterBreak="0">
    <w:nsid w:val="FFFFFF83"/>
    <w:multiLevelType w:val="singleLevel"/>
    <w:tmpl w:val="00261194"/>
    <w:lvl w:ilvl="0">
      <w:start w:val="1"/>
      <w:numFmt w:val="bullet"/>
      <w:pStyle w:val="ListBullet2"/>
      <w:lvlText w:val="■"/>
      <w:lvlJc w:val="left"/>
      <w:pPr>
        <w:ind w:left="643" w:hanging="360"/>
      </w:pPr>
      <w:rPr>
        <w:rFonts w:ascii="Arial" w:hAnsi="Arial" w:hint="default"/>
        <w:color w:val="33CCFF"/>
      </w:rPr>
    </w:lvl>
  </w:abstractNum>
  <w:abstractNum w:abstractNumId="8" w15:restartNumberingAfterBreak="0">
    <w:nsid w:val="FFFFFF88"/>
    <w:multiLevelType w:val="singleLevel"/>
    <w:tmpl w:val="4D564A24"/>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44C7A91"/>
    <w:multiLevelType w:val="multilevel"/>
    <w:tmpl w:val="D79276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810FC"/>
    <w:multiLevelType w:val="multilevel"/>
    <w:tmpl w:val="62222CF2"/>
    <w:styleLink w:val="PRINumbering"/>
    <w:lvl w:ilvl="0">
      <w:start w:val="1"/>
      <w:numFmt w:val="decimal"/>
      <w:lvlText w:val="%1."/>
      <w:lvlJc w:val="left"/>
      <w:pPr>
        <w:tabs>
          <w:tab w:val="num" w:pos="340"/>
        </w:tabs>
        <w:ind w:left="340" w:hanging="340"/>
      </w:pPr>
      <w:rPr>
        <w:rFonts w:hint="default"/>
      </w:rPr>
    </w:lvl>
    <w:lvl w:ilvl="1">
      <w:start w:val="2"/>
      <w:numFmt w:val="decimal"/>
      <w:lvlText w:val="%2."/>
      <w:lvlJc w:val="left"/>
      <w:pPr>
        <w:tabs>
          <w:tab w:val="num" w:pos="340"/>
        </w:tabs>
        <w:ind w:left="340" w:hanging="340"/>
      </w:pPr>
      <w:rPr>
        <w:rFonts w:ascii="Arial" w:hAnsi="Arial" w:hint="default"/>
      </w:rPr>
    </w:lvl>
    <w:lvl w:ilvl="2">
      <w:start w:val="1"/>
      <w:numFmt w:val="none"/>
      <w:lvlText w:val="3."/>
      <w:lvlJc w:val="left"/>
      <w:pPr>
        <w:tabs>
          <w:tab w:val="num" w:pos="340"/>
        </w:tabs>
        <w:ind w:left="340" w:hanging="340"/>
      </w:pPr>
      <w:rPr>
        <w:rFonts w:hint="default"/>
      </w:rPr>
    </w:lvl>
    <w:lvl w:ilvl="3">
      <w:start w:val="1"/>
      <w:numFmt w:val="none"/>
      <w:lvlText w:val="4."/>
      <w:lvlJc w:val="left"/>
      <w:pPr>
        <w:tabs>
          <w:tab w:val="num" w:pos="340"/>
        </w:tabs>
        <w:ind w:left="340" w:hanging="340"/>
      </w:pPr>
      <w:rPr>
        <w:rFonts w:hint="default"/>
      </w:rPr>
    </w:lvl>
    <w:lvl w:ilvl="4">
      <w:start w:val="1"/>
      <w:numFmt w:val="none"/>
      <w:lvlText w:val="5."/>
      <w:lvlJc w:val="left"/>
      <w:pPr>
        <w:tabs>
          <w:tab w:val="num" w:pos="340"/>
        </w:tabs>
        <w:ind w:left="340" w:hanging="340"/>
      </w:pPr>
      <w:rPr>
        <w:rFonts w:hint="default"/>
      </w:rPr>
    </w:lvl>
    <w:lvl w:ilvl="5">
      <w:start w:val="1"/>
      <w:numFmt w:val="none"/>
      <w:lvlText w:val="6."/>
      <w:lvlJc w:val="left"/>
      <w:pPr>
        <w:tabs>
          <w:tab w:val="num" w:pos="340"/>
        </w:tabs>
        <w:ind w:left="340" w:hanging="340"/>
      </w:pPr>
      <w:rPr>
        <w:rFonts w:hint="default"/>
      </w:rPr>
    </w:lvl>
    <w:lvl w:ilvl="6">
      <w:start w:val="1"/>
      <w:numFmt w:val="none"/>
      <w:lvlText w:val="7."/>
      <w:lvlJc w:val="left"/>
      <w:pPr>
        <w:tabs>
          <w:tab w:val="num" w:pos="340"/>
        </w:tabs>
        <w:ind w:left="340" w:hanging="340"/>
      </w:pPr>
      <w:rPr>
        <w:rFonts w:hint="default"/>
      </w:rPr>
    </w:lvl>
    <w:lvl w:ilvl="7">
      <w:start w:val="1"/>
      <w:numFmt w:val="none"/>
      <w:lvlText w:val="8."/>
      <w:lvlJc w:val="left"/>
      <w:pPr>
        <w:tabs>
          <w:tab w:val="num" w:pos="340"/>
        </w:tabs>
        <w:ind w:left="340" w:hanging="340"/>
      </w:pPr>
      <w:rPr>
        <w:rFonts w:hint="default"/>
      </w:rPr>
    </w:lvl>
    <w:lvl w:ilvl="8">
      <w:start w:val="1"/>
      <w:numFmt w:val="none"/>
      <w:lvlText w:val="9."/>
      <w:lvlJc w:val="left"/>
      <w:pPr>
        <w:tabs>
          <w:tab w:val="num" w:pos="340"/>
        </w:tabs>
        <w:ind w:left="340" w:hanging="340"/>
      </w:pPr>
      <w:rPr>
        <w:rFonts w:hint="default"/>
      </w:rPr>
    </w:lvl>
  </w:abstractNum>
  <w:abstractNum w:abstractNumId="11" w15:restartNumberingAfterBreak="0">
    <w:nsid w:val="0E83789D"/>
    <w:multiLevelType w:val="multilevel"/>
    <w:tmpl w:val="EE8CF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54595"/>
    <w:multiLevelType w:val="hybridMultilevel"/>
    <w:tmpl w:val="383EEAF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81C00"/>
    <w:multiLevelType w:val="multilevel"/>
    <w:tmpl w:val="C27E0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2019AD"/>
    <w:multiLevelType w:val="hybridMultilevel"/>
    <w:tmpl w:val="4DF4E6B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2D2B44"/>
    <w:multiLevelType w:val="multilevel"/>
    <w:tmpl w:val="109EC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95619"/>
    <w:multiLevelType w:val="hybridMultilevel"/>
    <w:tmpl w:val="A7BC4D54"/>
    <w:lvl w:ilvl="0" w:tplc="8BEEC378">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E0544"/>
    <w:multiLevelType w:val="multilevel"/>
    <w:tmpl w:val="4ED0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31B93"/>
    <w:multiLevelType w:val="multilevel"/>
    <w:tmpl w:val="D83E44F4"/>
    <w:styleLink w:val="prilist"/>
    <w:lvl w:ilvl="0">
      <w:start w:val="1"/>
      <w:numFmt w:val="bullet"/>
      <w:lvlText w:val="■"/>
      <w:lvlJc w:val="left"/>
      <w:pPr>
        <w:ind w:left="360" w:hanging="360"/>
      </w:pPr>
      <w:rPr>
        <w:rFonts w:ascii="Arial" w:hAnsi="Arial" w:hint="default"/>
        <w:color w:val="0070C0"/>
      </w:rPr>
    </w:lvl>
    <w:lvl w:ilvl="1">
      <w:start w:val="1"/>
      <w:numFmt w:val="bullet"/>
      <w:lvlText w:val="■"/>
      <w:lvlJc w:val="left"/>
      <w:pPr>
        <w:ind w:left="1080" w:hanging="360"/>
      </w:pPr>
      <w:rPr>
        <w:rFonts w:ascii="Arial" w:hAnsi="Arial" w:hint="default"/>
        <w:color w:val="00B0F0"/>
      </w:rPr>
    </w:lvl>
    <w:lvl w:ilvl="2">
      <w:start w:val="1"/>
      <w:numFmt w:val="bullet"/>
      <w:lvlText w:val="■"/>
      <w:lvlJc w:val="left"/>
      <w:pPr>
        <w:ind w:left="1800" w:hanging="360"/>
      </w:pPr>
      <w:rPr>
        <w:rFonts w:ascii="Arial" w:hAnsi="Arial" w:hint="default"/>
        <w:color w:val="808080" w:themeColor="background1" w:themeShade="80"/>
      </w:rPr>
    </w:lvl>
    <w:lvl w:ilvl="3">
      <w:start w:val="1"/>
      <w:numFmt w:val="bullet"/>
      <w:lvlText w:val="■"/>
      <w:lvlJc w:val="left"/>
      <w:pPr>
        <w:ind w:left="2520" w:hanging="360"/>
      </w:pPr>
      <w:rPr>
        <w:rFonts w:ascii="Arial" w:hAnsi="Arial" w:hint="default"/>
        <w:color w:val="808080" w:themeColor="background1" w:themeShade="80"/>
      </w:rPr>
    </w:lvl>
    <w:lvl w:ilvl="4">
      <w:start w:val="1"/>
      <w:numFmt w:val="bullet"/>
      <w:lvlText w:val="■"/>
      <w:lvlJc w:val="left"/>
      <w:pPr>
        <w:ind w:left="3600" w:hanging="360"/>
      </w:pPr>
      <w:rPr>
        <w:rFonts w:ascii="Arial" w:hAnsi="Arial" w:hint="default"/>
        <w:color w:val="808080" w:themeColor="background1" w:themeShade="8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33721D"/>
    <w:multiLevelType w:val="hybridMultilevel"/>
    <w:tmpl w:val="FFC85B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B9D2C1E"/>
    <w:multiLevelType w:val="hybridMultilevel"/>
    <w:tmpl w:val="52DC3EC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8818A7"/>
    <w:multiLevelType w:val="hybridMultilevel"/>
    <w:tmpl w:val="D5E8A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8"/>
  </w:num>
  <w:num w:numId="12">
    <w:abstractNumId w:val="16"/>
  </w:num>
  <w:num w:numId="13">
    <w:abstractNumId w:val="19"/>
  </w:num>
  <w:num w:numId="14">
    <w:abstractNumId w:val="14"/>
  </w:num>
  <w:num w:numId="15">
    <w:abstractNumId w:val="20"/>
  </w:num>
  <w:num w:numId="16">
    <w:abstractNumId w:val="12"/>
  </w:num>
  <w:num w:numId="17">
    <w:abstractNumId w:val="21"/>
  </w:num>
  <w:num w:numId="18">
    <w:abstractNumId w:val="11"/>
  </w:num>
  <w:num w:numId="19">
    <w:abstractNumId w:val="13"/>
  </w:num>
  <w:num w:numId="20">
    <w:abstractNumId w:val="9"/>
  </w:num>
  <w:num w:numId="21">
    <w:abstractNumId w:val="15"/>
  </w:num>
  <w:num w:numId="22">
    <w:abstractNumId w:val="17"/>
    <w:lvlOverride w:ilvl="0">
      <w:lvl w:ilvl="0">
        <w:numFmt w:val="bullet"/>
        <w:lvlText w:val=""/>
        <w:lvlJc w:val="left"/>
        <w:pPr>
          <w:tabs>
            <w:tab w:val="num" w:pos="720"/>
          </w:tabs>
          <w:ind w:left="720" w:hanging="360"/>
        </w:pPr>
        <w:rPr>
          <w:rFonts w:ascii="Wingdings" w:hAnsi="Wingdings" w:hint="default"/>
          <w:sz w:val="20"/>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72"/>
    <w:rsid w:val="000117C8"/>
    <w:rsid w:val="0001652E"/>
    <w:rsid w:val="000179B0"/>
    <w:rsid w:val="00023212"/>
    <w:rsid w:val="00026F2D"/>
    <w:rsid w:val="000335D0"/>
    <w:rsid w:val="00041207"/>
    <w:rsid w:val="00042731"/>
    <w:rsid w:val="000439F1"/>
    <w:rsid w:val="00060346"/>
    <w:rsid w:val="00065204"/>
    <w:rsid w:val="000672B9"/>
    <w:rsid w:val="0007625B"/>
    <w:rsid w:val="0008240C"/>
    <w:rsid w:val="00087104"/>
    <w:rsid w:val="0009229E"/>
    <w:rsid w:val="000928CB"/>
    <w:rsid w:val="0009574D"/>
    <w:rsid w:val="000B32F5"/>
    <w:rsid w:val="000C1CF6"/>
    <w:rsid w:val="000C4465"/>
    <w:rsid w:val="000D7813"/>
    <w:rsid w:val="000E6B89"/>
    <w:rsid w:val="000F2160"/>
    <w:rsid w:val="000F2865"/>
    <w:rsid w:val="00107A26"/>
    <w:rsid w:val="00116C1E"/>
    <w:rsid w:val="001264A9"/>
    <w:rsid w:val="00126E4A"/>
    <w:rsid w:val="0013186A"/>
    <w:rsid w:val="00133A8B"/>
    <w:rsid w:val="00141367"/>
    <w:rsid w:val="00141465"/>
    <w:rsid w:val="001513E7"/>
    <w:rsid w:val="00151F9C"/>
    <w:rsid w:val="00153870"/>
    <w:rsid w:val="00162D21"/>
    <w:rsid w:val="001654AE"/>
    <w:rsid w:val="00172A7E"/>
    <w:rsid w:val="0018429F"/>
    <w:rsid w:val="00185FE1"/>
    <w:rsid w:val="0019014E"/>
    <w:rsid w:val="001A1F22"/>
    <w:rsid w:val="001B603A"/>
    <w:rsid w:val="001B70E3"/>
    <w:rsid w:val="001C0051"/>
    <w:rsid w:val="001C1A4D"/>
    <w:rsid w:val="001C50D0"/>
    <w:rsid w:val="001C5A1F"/>
    <w:rsid w:val="001D397A"/>
    <w:rsid w:val="001D626C"/>
    <w:rsid w:val="001E1783"/>
    <w:rsid w:val="001E1802"/>
    <w:rsid w:val="001E1C5D"/>
    <w:rsid w:val="001E407F"/>
    <w:rsid w:val="001E690B"/>
    <w:rsid w:val="001F414E"/>
    <w:rsid w:val="00200561"/>
    <w:rsid w:val="002019FB"/>
    <w:rsid w:val="00213767"/>
    <w:rsid w:val="00227A23"/>
    <w:rsid w:val="002335F4"/>
    <w:rsid w:val="00240E6E"/>
    <w:rsid w:val="002458B1"/>
    <w:rsid w:val="00247EAB"/>
    <w:rsid w:val="0026118A"/>
    <w:rsid w:val="002726E1"/>
    <w:rsid w:val="00276504"/>
    <w:rsid w:val="00283CEE"/>
    <w:rsid w:val="00292264"/>
    <w:rsid w:val="002932D9"/>
    <w:rsid w:val="002975B6"/>
    <w:rsid w:val="002A52AC"/>
    <w:rsid w:val="002A6D8B"/>
    <w:rsid w:val="002B175D"/>
    <w:rsid w:val="002C0B83"/>
    <w:rsid w:val="002C4CE0"/>
    <w:rsid w:val="002D2678"/>
    <w:rsid w:val="002E18A9"/>
    <w:rsid w:val="002E28C1"/>
    <w:rsid w:val="002E6CBA"/>
    <w:rsid w:val="002F2B66"/>
    <w:rsid w:val="003001D7"/>
    <w:rsid w:val="00300D0B"/>
    <w:rsid w:val="003015F7"/>
    <w:rsid w:val="00302924"/>
    <w:rsid w:val="0030371F"/>
    <w:rsid w:val="00304A6F"/>
    <w:rsid w:val="00307DA1"/>
    <w:rsid w:val="00312FF9"/>
    <w:rsid w:val="0031452A"/>
    <w:rsid w:val="0032319F"/>
    <w:rsid w:val="00327210"/>
    <w:rsid w:val="00327660"/>
    <w:rsid w:val="0033019B"/>
    <w:rsid w:val="0033550C"/>
    <w:rsid w:val="00342317"/>
    <w:rsid w:val="00343DF2"/>
    <w:rsid w:val="003513E0"/>
    <w:rsid w:val="003535B0"/>
    <w:rsid w:val="00353793"/>
    <w:rsid w:val="00355039"/>
    <w:rsid w:val="003551BB"/>
    <w:rsid w:val="003712FF"/>
    <w:rsid w:val="00376D22"/>
    <w:rsid w:val="00381234"/>
    <w:rsid w:val="0038376B"/>
    <w:rsid w:val="0038446E"/>
    <w:rsid w:val="003864B3"/>
    <w:rsid w:val="003878F5"/>
    <w:rsid w:val="00390BC5"/>
    <w:rsid w:val="00395DC8"/>
    <w:rsid w:val="0039671F"/>
    <w:rsid w:val="003A0BDD"/>
    <w:rsid w:val="003A4263"/>
    <w:rsid w:val="003B5C38"/>
    <w:rsid w:val="003C2628"/>
    <w:rsid w:val="003D55D2"/>
    <w:rsid w:val="003D6177"/>
    <w:rsid w:val="003D6FE2"/>
    <w:rsid w:val="00411097"/>
    <w:rsid w:val="0042123B"/>
    <w:rsid w:val="00424902"/>
    <w:rsid w:val="00425231"/>
    <w:rsid w:val="00430926"/>
    <w:rsid w:val="004364AE"/>
    <w:rsid w:val="004365B1"/>
    <w:rsid w:val="00440D47"/>
    <w:rsid w:val="00440EE2"/>
    <w:rsid w:val="00441683"/>
    <w:rsid w:val="00444A8E"/>
    <w:rsid w:val="00445A62"/>
    <w:rsid w:val="00456C92"/>
    <w:rsid w:val="0045739C"/>
    <w:rsid w:val="00470987"/>
    <w:rsid w:val="004773BD"/>
    <w:rsid w:val="0048513E"/>
    <w:rsid w:val="00487C77"/>
    <w:rsid w:val="00493AC6"/>
    <w:rsid w:val="004A47D7"/>
    <w:rsid w:val="004B0994"/>
    <w:rsid w:val="004B406A"/>
    <w:rsid w:val="004C43E2"/>
    <w:rsid w:val="004C5458"/>
    <w:rsid w:val="004D154E"/>
    <w:rsid w:val="004D3DE8"/>
    <w:rsid w:val="004E5609"/>
    <w:rsid w:val="004E602E"/>
    <w:rsid w:val="004F4E13"/>
    <w:rsid w:val="0050428A"/>
    <w:rsid w:val="00510C37"/>
    <w:rsid w:val="00513055"/>
    <w:rsid w:val="00522FDC"/>
    <w:rsid w:val="005233A1"/>
    <w:rsid w:val="005362DA"/>
    <w:rsid w:val="00536E31"/>
    <w:rsid w:val="0053710B"/>
    <w:rsid w:val="00554681"/>
    <w:rsid w:val="00571A89"/>
    <w:rsid w:val="005827D1"/>
    <w:rsid w:val="0058581F"/>
    <w:rsid w:val="00593A21"/>
    <w:rsid w:val="005B584F"/>
    <w:rsid w:val="005B7A27"/>
    <w:rsid w:val="005C0EE6"/>
    <w:rsid w:val="005D32D9"/>
    <w:rsid w:val="005E4032"/>
    <w:rsid w:val="005E6D3A"/>
    <w:rsid w:val="005F5F59"/>
    <w:rsid w:val="00610D04"/>
    <w:rsid w:val="00614CFF"/>
    <w:rsid w:val="00615F1A"/>
    <w:rsid w:val="00617CE1"/>
    <w:rsid w:val="00620F49"/>
    <w:rsid w:val="006308F4"/>
    <w:rsid w:val="0063565D"/>
    <w:rsid w:val="00636E2F"/>
    <w:rsid w:val="00644696"/>
    <w:rsid w:val="00652786"/>
    <w:rsid w:val="00656960"/>
    <w:rsid w:val="006607A4"/>
    <w:rsid w:val="00661E0E"/>
    <w:rsid w:val="0066596D"/>
    <w:rsid w:val="0067144E"/>
    <w:rsid w:val="006714A9"/>
    <w:rsid w:val="00671CA2"/>
    <w:rsid w:val="0067600D"/>
    <w:rsid w:val="00676382"/>
    <w:rsid w:val="006765E1"/>
    <w:rsid w:val="00677A66"/>
    <w:rsid w:val="006800AF"/>
    <w:rsid w:val="0068744C"/>
    <w:rsid w:val="006877A4"/>
    <w:rsid w:val="00692CFF"/>
    <w:rsid w:val="00693CEC"/>
    <w:rsid w:val="0069437C"/>
    <w:rsid w:val="006A08BA"/>
    <w:rsid w:val="006A6CD7"/>
    <w:rsid w:val="006B3F12"/>
    <w:rsid w:val="006B6775"/>
    <w:rsid w:val="006B6EC1"/>
    <w:rsid w:val="006C1B37"/>
    <w:rsid w:val="006C26B7"/>
    <w:rsid w:val="006C3CF4"/>
    <w:rsid w:val="006D0439"/>
    <w:rsid w:val="006E17AC"/>
    <w:rsid w:val="006E38A3"/>
    <w:rsid w:val="006F1662"/>
    <w:rsid w:val="006F4483"/>
    <w:rsid w:val="006F75BB"/>
    <w:rsid w:val="007036FC"/>
    <w:rsid w:val="0071094E"/>
    <w:rsid w:val="00710A7C"/>
    <w:rsid w:val="00714348"/>
    <w:rsid w:val="00715011"/>
    <w:rsid w:val="007156EF"/>
    <w:rsid w:val="00721A23"/>
    <w:rsid w:val="00733715"/>
    <w:rsid w:val="00740820"/>
    <w:rsid w:val="007437C1"/>
    <w:rsid w:val="00762D74"/>
    <w:rsid w:val="00794B24"/>
    <w:rsid w:val="00795C86"/>
    <w:rsid w:val="00797F67"/>
    <w:rsid w:val="007B3BC8"/>
    <w:rsid w:val="007B4F8B"/>
    <w:rsid w:val="007B5F51"/>
    <w:rsid w:val="007C43C6"/>
    <w:rsid w:val="007C7F98"/>
    <w:rsid w:val="007E7609"/>
    <w:rsid w:val="007E7E93"/>
    <w:rsid w:val="007F11DE"/>
    <w:rsid w:val="007F2EC9"/>
    <w:rsid w:val="007F75EE"/>
    <w:rsid w:val="00802F58"/>
    <w:rsid w:val="0080370C"/>
    <w:rsid w:val="00806BB0"/>
    <w:rsid w:val="00810C35"/>
    <w:rsid w:val="00814307"/>
    <w:rsid w:val="0082025E"/>
    <w:rsid w:val="008215F6"/>
    <w:rsid w:val="00826B06"/>
    <w:rsid w:val="008310FD"/>
    <w:rsid w:val="008334F5"/>
    <w:rsid w:val="00835D3D"/>
    <w:rsid w:val="00842AA6"/>
    <w:rsid w:val="0084318A"/>
    <w:rsid w:val="008448DC"/>
    <w:rsid w:val="0086642C"/>
    <w:rsid w:val="008669CF"/>
    <w:rsid w:val="008765D3"/>
    <w:rsid w:val="00895460"/>
    <w:rsid w:val="008957A6"/>
    <w:rsid w:val="008971E2"/>
    <w:rsid w:val="008A2101"/>
    <w:rsid w:val="008A21ED"/>
    <w:rsid w:val="008A53A8"/>
    <w:rsid w:val="008A7016"/>
    <w:rsid w:val="008A763A"/>
    <w:rsid w:val="008C1BFA"/>
    <w:rsid w:val="008C5165"/>
    <w:rsid w:val="008C6A4C"/>
    <w:rsid w:val="008D1D7E"/>
    <w:rsid w:val="008D383A"/>
    <w:rsid w:val="008E13F7"/>
    <w:rsid w:val="008E30D9"/>
    <w:rsid w:val="008F7868"/>
    <w:rsid w:val="008F7A08"/>
    <w:rsid w:val="00900CC2"/>
    <w:rsid w:val="00902ADE"/>
    <w:rsid w:val="00902F5A"/>
    <w:rsid w:val="00904C52"/>
    <w:rsid w:val="009153B6"/>
    <w:rsid w:val="00923CB0"/>
    <w:rsid w:val="00926E2B"/>
    <w:rsid w:val="0092732C"/>
    <w:rsid w:val="00930915"/>
    <w:rsid w:val="00936049"/>
    <w:rsid w:val="00936083"/>
    <w:rsid w:val="00946435"/>
    <w:rsid w:val="00955606"/>
    <w:rsid w:val="00957824"/>
    <w:rsid w:val="00957DBE"/>
    <w:rsid w:val="0096260C"/>
    <w:rsid w:val="009673ED"/>
    <w:rsid w:val="00983215"/>
    <w:rsid w:val="00983A19"/>
    <w:rsid w:val="00985112"/>
    <w:rsid w:val="0098553C"/>
    <w:rsid w:val="009A2254"/>
    <w:rsid w:val="009B0B29"/>
    <w:rsid w:val="009B6B53"/>
    <w:rsid w:val="009C4486"/>
    <w:rsid w:val="009D0A56"/>
    <w:rsid w:val="009E3132"/>
    <w:rsid w:val="009E3D87"/>
    <w:rsid w:val="009E3E52"/>
    <w:rsid w:val="009E43D1"/>
    <w:rsid w:val="009E643D"/>
    <w:rsid w:val="009F0EC1"/>
    <w:rsid w:val="009F593C"/>
    <w:rsid w:val="009F7430"/>
    <w:rsid w:val="00A006C1"/>
    <w:rsid w:val="00A02A30"/>
    <w:rsid w:val="00A06AE0"/>
    <w:rsid w:val="00A103A2"/>
    <w:rsid w:val="00A10BA3"/>
    <w:rsid w:val="00A228C4"/>
    <w:rsid w:val="00A32BDA"/>
    <w:rsid w:val="00A35732"/>
    <w:rsid w:val="00A458EF"/>
    <w:rsid w:val="00A46890"/>
    <w:rsid w:val="00A57816"/>
    <w:rsid w:val="00A6132E"/>
    <w:rsid w:val="00A63E5B"/>
    <w:rsid w:val="00A66730"/>
    <w:rsid w:val="00A7050D"/>
    <w:rsid w:val="00A71E37"/>
    <w:rsid w:val="00A9645B"/>
    <w:rsid w:val="00A96AE2"/>
    <w:rsid w:val="00A96E7C"/>
    <w:rsid w:val="00AA256B"/>
    <w:rsid w:val="00AA4F37"/>
    <w:rsid w:val="00AA68A1"/>
    <w:rsid w:val="00AA6EC5"/>
    <w:rsid w:val="00AA70A8"/>
    <w:rsid w:val="00AB69B0"/>
    <w:rsid w:val="00AB750E"/>
    <w:rsid w:val="00AB7DF9"/>
    <w:rsid w:val="00AC5A1C"/>
    <w:rsid w:val="00AD1B72"/>
    <w:rsid w:val="00AD4050"/>
    <w:rsid w:val="00AE39AF"/>
    <w:rsid w:val="00B00E5F"/>
    <w:rsid w:val="00B02D84"/>
    <w:rsid w:val="00B04477"/>
    <w:rsid w:val="00B06A84"/>
    <w:rsid w:val="00B077C7"/>
    <w:rsid w:val="00B1361C"/>
    <w:rsid w:val="00B4643F"/>
    <w:rsid w:val="00B50261"/>
    <w:rsid w:val="00B51B2F"/>
    <w:rsid w:val="00B5389A"/>
    <w:rsid w:val="00B55516"/>
    <w:rsid w:val="00B60221"/>
    <w:rsid w:val="00B60E60"/>
    <w:rsid w:val="00B6635D"/>
    <w:rsid w:val="00B74559"/>
    <w:rsid w:val="00B82EC3"/>
    <w:rsid w:val="00BA3368"/>
    <w:rsid w:val="00BB0A2A"/>
    <w:rsid w:val="00BB248A"/>
    <w:rsid w:val="00BB2AE0"/>
    <w:rsid w:val="00BC5C02"/>
    <w:rsid w:val="00BC79B8"/>
    <w:rsid w:val="00BD3B1B"/>
    <w:rsid w:val="00BE77E6"/>
    <w:rsid w:val="00BF61D0"/>
    <w:rsid w:val="00C015D6"/>
    <w:rsid w:val="00C01957"/>
    <w:rsid w:val="00C032DE"/>
    <w:rsid w:val="00C12AD3"/>
    <w:rsid w:val="00C15E94"/>
    <w:rsid w:val="00C20712"/>
    <w:rsid w:val="00C229DA"/>
    <w:rsid w:val="00C24CC1"/>
    <w:rsid w:val="00C24CDE"/>
    <w:rsid w:val="00C27EA5"/>
    <w:rsid w:val="00C44A4B"/>
    <w:rsid w:val="00C459E8"/>
    <w:rsid w:val="00C519B2"/>
    <w:rsid w:val="00C66581"/>
    <w:rsid w:val="00C71A20"/>
    <w:rsid w:val="00C75DEE"/>
    <w:rsid w:val="00C8123B"/>
    <w:rsid w:val="00C815E6"/>
    <w:rsid w:val="00C839E4"/>
    <w:rsid w:val="00C867A7"/>
    <w:rsid w:val="00C916FE"/>
    <w:rsid w:val="00CC5472"/>
    <w:rsid w:val="00CD3D0F"/>
    <w:rsid w:val="00CD3E62"/>
    <w:rsid w:val="00CD5A2A"/>
    <w:rsid w:val="00CE000A"/>
    <w:rsid w:val="00CE7FB1"/>
    <w:rsid w:val="00CF3D1F"/>
    <w:rsid w:val="00CF71E4"/>
    <w:rsid w:val="00D06F2E"/>
    <w:rsid w:val="00D11054"/>
    <w:rsid w:val="00D25095"/>
    <w:rsid w:val="00D25F41"/>
    <w:rsid w:val="00D261BF"/>
    <w:rsid w:val="00D30BA3"/>
    <w:rsid w:val="00D31BE7"/>
    <w:rsid w:val="00D32E3F"/>
    <w:rsid w:val="00D44B8F"/>
    <w:rsid w:val="00D47D67"/>
    <w:rsid w:val="00D508E3"/>
    <w:rsid w:val="00D620FF"/>
    <w:rsid w:val="00D727F8"/>
    <w:rsid w:val="00D7410A"/>
    <w:rsid w:val="00D81299"/>
    <w:rsid w:val="00D84298"/>
    <w:rsid w:val="00D85A7F"/>
    <w:rsid w:val="00D8679F"/>
    <w:rsid w:val="00D901A2"/>
    <w:rsid w:val="00D92EC5"/>
    <w:rsid w:val="00D94CAE"/>
    <w:rsid w:val="00DA43BF"/>
    <w:rsid w:val="00DB0C38"/>
    <w:rsid w:val="00DB3C63"/>
    <w:rsid w:val="00DD0D57"/>
    <w:rsid w:val="00DF1080"/>
    <w:rsid w:val="00DF453C"/>
    <w:rsid w:val="00DF5F8A"/>
    <w:rsid w:val="00E021CE"/>
    <w:rsid w:val="00E06C42"/>
    <w:rsid w:val="00E07FB3"/>
    <w:rsid w:val="00E24053"/>
    <w:rsid w:val="00E504FD"/>
    <w:rsid w:val="00E529D7"/>
    <w:rsid w:val="00E6642A"/>
    <w:rsid w:val="00E7149C"/>
    <w:rsid w:val="00E71698"/>
    <w:rsid w:val="00E764CA"/>
    <w:rsid w:val="00E94836"/>
    <w:rsid w:val="00E9597A"/>
    <w:rsid w:val="00E966DD"/>
    <w:rsid w:val="00EA097C"/>
    <w:rsid w:val="00EA1C63"/>
    <w:rsid w:val="00EA2CA7"/>
    <w:rsid w:val="00EA4BC3"/>
    <w:rsid w:val="00EA7D72"/>
    <w:rsid w:val="00EB3631"/>
    <w:rsid w:val="00EB3C67"/>
    <w:rsid w:val="00EB4D1C"/>
    <w:rsid w:val="00EC0BAF"/>
    <w:rsid w:val="00EC37A7"/>
    <w:rsid w:val="00EC399F"/>
    <w:rsid w:val="00ED7E46"/>
    <w:rsid w:val="00EE2655"/>
    <w:rsid w:val="00EE5290"/>
    <w:rsid w:val="00EF16A7"/>
    <w:rsid w:val="00EF3AA0"/>
    <w:rsid w:val="00F02E05"/>
    <w:rsid w:val="00F05D8F"/>
    <w:rsid w:val="00F125E3"/>
    <w:rsid w:val="00F12B39"/>
    <w:rsid w:val="00F13D1F"/>
    <w:rsid w:val="00F14FE0"/>
    <w:rsid w:val="00F22843"/>
    <w:rsid w:val="00F35021"/>
    <w:rsid w:val="00F43687"/>
    <w:rsid w:val="00F52AC9"/>
    <w:rsid w:val="00F63AAE"/>
    <w:rsid w:val="00F724CF"/>
    <w:rsid w:val="00F75E48"/>
    <w:rsid w:val="00F812F6"/>
    <w:rsid w:val="00F97D42"/>
    <w:rsid w:val="00FA0BF8"/>
    <w:rsid w:val="00FA4069"/>
    <w:rsid w:val="00FB0633"/>
    <w:rsid w:val="00FD3B85"/>
    <w:rsid w:val="00FD4B89"/>
    <w:rsid w:val="00FE476B"/>
    <w:rsid w:val="00FE73F9"/>
    <w:rsid w:val="00FF31EE"/>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E0902F"/>
  <w15:docId w15:val="{18337537-8109-457E-9C7C-C1CF4D80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PGothic" w:hAnsi="Arial" w:cs="Times New Roman"/>
        <w:lang w:val="en-GB" w:eastAsia="en-US" w:bidi="ar-SA"/>
      </w:rPr>
    </w:rPrDefault>
    <w:pPrDefault>
      <w:pPr>
        <w:spacing w:line="312" w:lineRule="auto"/>
        <w:ind w:left="357" w:hanging="357"/>
      </w:pPr>
    </w:pPrDefault>
  </w:docDefaults>
  <w:latentStyles w:defLockedState="0" w:defUIPriority="99" w:defSemiHidden="0" w:defUnhideWhenUsed="0" w:defQFormat="0" w:count="375">
    <w:lsdException w:name="Normal" w:uiPriority="5"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9" w:unhideWhenUsed="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I Body"/>
    <w:uiPriority w:val="5"/>
    <w:qFormat/>
    <w:rsid w:val="004365B1"/>
    <w:pPr>
      <w:ind w:left="0" w:firstLine="0"/>
    </w:pPr>
  </w:style>
  <w:style w:type="paragraph" w:styleId="Heading1">
    <w:name w:val="heading 1"/>
    <w:aliases w:val="PRI Heading 1"/>
    <w:basedOn w:val="Normal"/>
    <w:next w:val="Normal"/>
    <w:link w:val="Heading1Char"/>
    <w:uiPriority w:val="1"/>
    <w:rsid w:val="001654AE"/>
    <w:pPr>
      <w:spacing w:before="360"/>
      <w:outlineLvl w:val="0"/>
    </w:pPr>
    <w:rPr>
      <w:b/>
      <w:color w:val="0050A6"/>
      <w:sz w:val="32"/>
      <w:szCs w:val="36"/>
    </w:rPr>
  </w:style>
  <w:style w:type="paragraph" w:styleId="Heading2">
    <w:name w:val="heading 2"/>
    <w:aliases w:val="PRI Heading 2"/>
    <w:basedOn w:val="Normal"/>
    <w:next w:val="Normal"/>
    <w:link w:val="Heading2Char"/>
    <w:uiPriority w:val="2"/>
    <w:unhideWhenUsed/>
    <w:qFormat/>
    <w:rsid w:val="0008240C"/>
    <w:pPr>
      <w:spacing w:before="480"/>
      <w:outlineLvl w:val="1"/>
    </w:pPr>
    <w:rPr>
      <w:b/>
      <w:bCs/>
      <w:caps/>
      <w:color w:val="00B0F0"/>
      <w:sz w:val="30"/>
      <w:szCs w:val="28"/>
    </w:rPr>
  </w:style>
  <w:style w:type="paragraph" w:styleId="Heading3">
    <w:name w:val="heading 3"/>
    <w:aliases w:val="PRI Heading 3"/>
    <w:basedOn w:val="Normal"/>
    <w:next w:val="Normal"/>
    <w:link w:val="Heading3Char"/>
    <w:uiPriority w:val="3"/>
    <w:unhideWhenUsed/>
    <w:qFormat/>
    <w:rsid w:val="0008240C"/>
    <w:pPr>
      <w:outlineLvl w:val="2"/>
    </w:pPr>
    <w:rPr>
      <w:b/>
      <w:bCs/>
      <w:caps/>
      <w:color w:val="008CD0"/>
      <w:sz w:val="24"/>
      <w:szCs w:val="24"/>
    </w:rPr>
  </w:style>
  <w:style w:type="paragraph" w:styleId="Heading4">
    <w:name w:val="heading 4"/>
    <w:aliases w:val="PRI Heading 4"/>
    <w:basedOn w:val="Normal"/>
    <w:next w:val="Normal"/>
    <w:link w:val="Heading4Char"/>
    <w:uiPriority w:val="4"/>
    <w:unhideWhenUsed/>
    <w:qFormat/>
    <w:rsid w:val="0008240C"/>
    <w:pPr>
      <w:outlineLvl w:val="3"/>
    </w:pPr>
    <w:rPr>
      <w:b/>
      <w:bCs/>
      <w:color w:val="000000" w:themeColor="text1"/>
      <w:szCs w:val="24"/>
    </w:rPr>
  </w:style>
  <w:style w:type="paragraph" w:styleId="Heading5">
    <w:name w:val="heading 5"/>
    <w:basedOn w:val="Normal"/>
    <w:next w:val="Normal"/>
    <w:link w:val="Heading5Char1"/>
    <w:uiPriority w:val="19"/>
    <w:semiHidden/>
    <w:unhideWhenUsed/>
    <w:rsid w:val="00A4689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8EF"/>
    <w:pPr>
      <w:tabs>
        <w:tab w:val="center" w:pos="4320"/>
        <w:tab w:val="right" w:pos="8640"/>
      </w:tabs>
    </w:pPr>
  </w:style>
  <w:style w:type="character" w:customStyle="1" w:styleId="HeaderChar">
    <w:name w:val="Header Char"/>
    <w:basedOn w:val="DefaultParagraphFont"/>
    <w:link w:val="Header"/>
    <w:uiPriority w:val="99"/>
    <w:rsid w:val="00A458EF"/>
  </w:style>
  <w:style w:type="paragraph" w:styleId="Footer">
    <w:name w:val="footer"/>
    <w:basedOn w:val="Normal"/>
    <w:link w:val="FooterChar"/>
    <w:uiPriority w:val="99"/>
    <w:unhideWhenUsed/>
    <w:rsid w:val="00A458EF"/>
    <w:pPr>
      <w:tabs>
        <w:tab w:val="center" w:pos="4320"/>
        <w:tab w:val="right" w:pos="8640"/>
      </w:tabs>
    </w:pPr>
  </w:style>
  <w:style w:type="character" w:customStyle="1" w:styleId="FooterChar">
    <w:name w:val="Footer Char"/>
    <w:basedOn w:val="DefaultParagraphFont"/>
    <w:link w:val="Footer"/>
    <w:uiPriority w:val="99"/>
    <w:rsid w:val="00A458EF"/>
  </w:style>
  <w:style w:type="paragraph" w:styleId="ListBullet">
    <w:name w:val="List Bullet"/>
    <w:basedOn w:val="Normal"/>
    <w:uiPriority w:val="6"/>
    <w:qFormat/>
    <w:rsid w:val="00A66730"/>
    <w:pPr>
      <w:numPr>
        <w:numId w:val="12"/>
      </w:numPr>
      <w:ind w:left="357" w:hanging="357"/>
    </w:pPr>
  </w:style>
  <w:style w:type="character" w:customStyle="1" w:styleId="Heading1Char">
    <w:name w:val="Heading 1 Char"/>
    <w:aliases w:val="PRI Heading 1 Char"/>
    <w:basedOn w:val="DefaultParagraphFont"/>
    <w:link w:val="Heading1"/>
    <w:uiPriority w:val="1"/>
    <w:rsid w:val="001654AE"/>
    <w:rPr>
      <w:rFonts w:ascii="Arial" w:hAnsi="Arial" w:cs="Arial"/>
      <w:b/>
      <w:color w:val="0050A6"/>
      <w:sz w:val="32"/>
      <w:szCs w:val="36"/>
    </w:rPr>
  </w:style>
  <w:style w:type="character" w:customStyle="1" w:styleId="Heading2Char">
    <w:name w:val="Heading 2 Char"/>
    <w:aliases w:val="PRI Heading 2 Char"/>
    <w:basedOn w:val="DefaultParagraphFont"/>
    <w:link w:val="Heading2"/>
    <w:uiPriority w:val="2"/>
    <w:rsid w:val="0008240C"/>
    <w:rPr>
      <w:b/>
      <w:bCs/>
      <w:caps/>
      <w:color w:val="00B0F0"/>
      <w:sz w:val="30"/>
      <w:szCs w:val="28"/>
    </w:rPr>
  </w:style>
  <w:style w:type="character" w:customStyle="1" w:styleId="Heading3Char">
    <w:name w:val="Heading 3 Char"/>
    <w:aliases w:val="PRI Heading 3 Char"/>
    <w:basedOn w:val="DefaultParagraphFont"/>
    <w:link w:val="Heading3"/>
    <w:uiPriority w:val="3"/>
    <w:rsid w:val="0008240C"/>
    <w:rPr>
      <w:b/>
      <w:bCs/>
      <w:caps/>
      <w:color w:val="008CD0"/>
      <w:sz w:val="24"/>
      <w:szCs w:val="24"/>
    </w:rPr>
  </w:style>
  <w:style w:type="character" w:customStyle="1" w:styleId="Heading4Char">
    <w:name w:val="Heading 4 Char"/>
    <w:aliases w:val="PRI Heading 4 Char"/>
    <w:basedOn w:val="DefaultParagraphFont"/>
    <w:link w:val="Heading4"/>
    <w:uiPriority w:val="4"/>
    <w:rsid w:val="0008240C"/>
    <w:rPr>
      <w:b/>
      <w:bCs/>
      <w:color w:val="000000" w:themeColor="text1"/>
      <w:szCs w:val="24"/>
    </w:rPr>
  </w:style>
  <w:style w:type="paragraph" w:styleId="Title">
    <w:name w:val="Title"/>
    <w:aliases w:val="PRI Title"/>
    <w:basedOn w:val="Normal"/>
    <w:next w:val="Normal"/>
    <w:link w:val="TitleChar"/>
    <w:qFormat/>
    <w:rsid w:val="0008240C"/>
    <w:pPr>
      <w:pBdr>
        <w:bottom w:val="single" w:sz="4" w:space="1" w:color="0070C0"/>
      </w:pBdr>
      <w:spacing w:before="1600" w:after="420"/>
    </w:pPr>
    <w:rPr>
      <w:caps/>
      <w:color w:val="0050A6"/>
      <w:sz w:val="48"/>
      <w:szCs w:val="56"/>
    </w:rPr>
  </w:style>
  <w:style w:type="character" w:customStyle="1" w:styleId="TitleChar">
    <w:name w:val="Title Char"/>
    <w:aliases w:val="PRI Title Char"/>
    <w:basedOn w:val="DefaultParagraphFont"/>
    <w:link w:val="Title"/>
    <w:rsid w:val="0008240C"/>
    <w:rPr>
      <w:caps/>
      <w:color w:val="0050A6"/>
      <w:sz w:val="48"/>
      <w:szCs w:val="56"/>
    </w:rPr>
  </w:style>
  <w:style w:type="paragraph" w:styleId="Quote">
    <w:name w:val="Quote"/>
    <w:aliases w:val="PRI Quote"/>
    <w:basedOn w:val="Normal"/>
    <w:next w:val="Normal"/>
    <w:link w:val="QuoteChar"/>
    <w:uiPriority w:val="7"/>
    <w:qFormat/>
    <w:rsid w:val="0026118A"/>
    <w:pPr>
      <w:spacing w:before="240" w:after="240"/>
    </w:pPr>
    <w:rPr>
      <w:color w:val="808080" w:themeColor="background1" w:themeShade="80"/>
      <w:sz w:val="32"/>
    </w:rPr>
  </w:style>
  <w:style w:type="character" w:customStyle="1" w:styleId="QuoteChar">
    <w:name w:val="Quote Char"/>
    <w:aliases w:val="PRI Quote Char"/>
    <w:basedOn w:val="DefaultParagraphFont"/>
    <w:link w:val="Quote"/>
    <w:uiPriority w:val="7"/>
    <w:rsid w:val="0026118A"/>
    <w:rPr>
      <w:rFonts w:ascii="Arial" w:hAnsi="Arial" w:cs="Arial"/>
      <w:color w:val="808080" w:themeColor="background1" w:themeShade="80"/>
      <w:sz w:val="32"/>
    </w:rPr>
  </w:style>
  <w:style w:type="character" w:styleId="Strong">
    <w:name w:val="Strong"/>
    <w:aliases w:val="PRI Bold Body"/>
    <w:uiPriority w:val="8"/>
    <w:rsid w:val="00304A6F"/>
    <w:rPr>
      <w:rFonts w:ascii="Arial" w:hAnsi="Arial"/>
      <w:b/>
      <w:i w:val="0"/>
    </w:rPr>
  </w:style>
  <w:style w:type="paragraph" w:customStyle="1" w:styleId="PRIFigureCaption">
    <w:name w:val="PRI Figure Caption"/>
    <w:basedOn w:val="Normal"/>
    <w:uiPriority w:val="9"/>
    <w:qFormat/>
    <w:rsid w:val="00B60221"/>
    <w:pPr>
      <w:spacing w:after="320"/>
      <w:jc w:val="right"/>
    </w:pPr>
    <w:rPr>
      <w:color w:val="595959"/>
      <w:sz w:val="18"/>
      <w:szCs w:val="18"/>
    </w:rPr>
  </w:style>
  <w:style w:type="paragraph" w:customStyle="1" w:styleId="PRITableHeading">
    <w:name w:val="PRI Table Heading"/>
    <w:basedOn w:val="Normal"/>
    <w:uiPriority w:val="11"/>
    <w:qFormat/>
    <w:rsid w:val="004C5458"/>
    <w:rPr>
      <w:color w:val="FFFFFF"/>
      <w:sz w:val="24"/>
      <w:szCs w:val="24"/>
    </w:rPr>
  </w:style>
  <w:style w:type="paragraph" w:customStyle="1" w:styleId="PRITableContent">
    <w:name w:val="PRI Table Content"/>
    <w:basedOn w:val="Normal"/>
    <w:uiPriority w:val="12"/>
    <w:rsid w:val="008A7016"/>
  </w:style>
  <w:style w:type="paragraph" w:styleId="FootnoteText">
    <w:name w:val="footnote text"/>
    <w:aliases w:val="PRI Footnote Text"/>
    <w:basedOn w:val="Normal"/>
    <w:link w:val="FootnoteTextChar"/>
    <w:autoRedefine/>
    <w:uiPriority w:val="99"/>
    <w:unhideWhenUsed/>
    <w:qFormat/>
    <w:rsid w:val="00B1361C"/>
    <w:rPr>
      <w:color w:val="808080"/>
      <w:sz w:val="17"/>
      <w:szCs w:val="24"/>
    </w:rPr>
  </w:style>
  <w:style w:type="character" w:customStyle="1" w:styleId="FootnoteTextChar">
    <w:name w:val="Footnote Text Char"/>
    <w:aliases w:val="PRI Footnote Text Char"/>
    <w:basedOn w:val="DefaultParagraphFont"/>
    <w:link w:val="FootnoteText"/>
    <w:uiPriority w:val="99"/>
    <w:rsid w:val="00C867A7"/>
    <w:rPr>
      <w:rFonts w:ascii="Arial" w:hAnsi="Arial" w:cs="Arial"/>
      <w:color w:val="808080"/>
      <w:sz w:val="17"/>
    </w:rPr>
  </w:style>
  <w:style w:type="character" w:styleId="FootnoteReference">
    <w:name w:val="footnote reference"/>
    <w:basedOn w:val="DefaultParagraphFont"/>
    <w:uiPriority w:val="99"/>
    <w:unhideWhenUsed/>
    <w:rsid w:val="00B1361C"/>
    <w:rPr>
      <w:vertAlign w:val="superscript"/>
    </w:rPr>
  </w:style>
  <w:style w:type="character" w:styleId="SubtleEmphasis">
    <w:name w:val="Subtle Emphasis"/>
    <w:basedOn w:val="DefaultParagraphFont"/>
    <w:uiPriority w:val="19"/>
    <w:rsid w:val="0045739C"/>
    <w:rPr>
      <w:i/>
      <w:iCs/>
      <w:color w:val="808080"/>
    </w:rPr>
  </w:style>
  <w:style w:type="character" w:styleId="Emphasis">
    <w:name w:val="Emphasis"/>
    <w:basedOn w:val="DefaultParagraphFont"/>
    <w:uiPriority w:val="20"/>
    <w:rsid w:val="0045739C"/>
    <w:rPr>
      <w:i/>
      <w:iCs/>
    </w:rPr>
  </w:style>
  <w:style w:type="character" w:styleId="IntenseEmphasis">
    <w:name w:val="Intense Emphasis"/>
    <w:basedOn w:val="DefaultParagraphFont"/>
    <w:qFormat/>
    <w:rsid w:val="0045739C"/>
    <w:rPr>
      <w:b/>
      <w:bCs/>
      <w:i/>
      <w:iCs/>
      <w:color w:val="0050A6"/>
    </w:rPr>
  </w:style>
  <w:style w:type="paragraph" w:styleId="IntenseQuote">
    <w:name w:val="Intense Quote"/>
    <w:basedOn w:val="Normal"/>
    <w:next w:val="Normal"/>
    <w:link w:val="IntenseQuoteChar"/>
    <w:uiPriority w:val="30"/>
    <w:rsid w:val="0045739C"/>
    <w:pPr>
      <w:pBdr>
        <w:bottom w:val="single" w:sz="4" w:space="4" w:color="0050A6"/>
      </w:pBdr>
      <w:spacing w:before="200" w:after="280"/>
      <w:ind w:left="936" w:right="936"/>
    </w:pPr>
    <w:rPr>
      <w:b/>
      <w:bCs/>
      <w:i/>
      <w:iCs/>
      <w:color w:val="0050A6"/>
    </w:rPr>
  </w:style>
  <w:style w:type="character" w:customStyle="1" w:styleId="IntenseQuoteChar">
    <w:name w:val="Intense Quote Char"/>
    <w:basedOn w:val="DefaultParagraphFont"/>
    <w:link w:val="IntenseQuote"/>
    <w:uiPriority w:val="30"/>
    <w:rsid w:val="0045739C"/>
    <w:rPr>
      <w:rFonts w:ascii="Alright Sans Regular" w:hAnsi="Alright Sans Regular" w:cs="Arial"/>
      <w:b/>
      <w:bCs/>
      <w:i/>
      <w:iCs/>
      <w:color w:val="0050A6"/>
      <w:sz w:val="20"/>
      <w:szCs w:val="20"/>
    </w:rPr>
  </w:style>
  <w:style w:type="character" w:styleId="SubtleReference">
    <w:name w:val="Subtle Reference"/>
    <w:basedOn w:val="DefaultParagraphFont"/>
    <w:uiPriority w:val="31"/>
    <w:rsid w:val="0045739C"/>
    <w:rPr>
      <w:rFonts w:ascii="Alright Sans Regular Italic" w:hAnsi="Alright Sans Regular Italic"/>
      <w:b w:val="0"/>
      <w:i w:val="0"/>
      <w:smallCaps/>
      <w:color w:val="008CC8"/>
      <w:u w:val="single"/>
    </w:rPr>
  </w:style>
  <w:style w:type="character" w:styleId="IntenseReference">
    <w:name w:val="Intense Reference"/>
    <w:basedOn w:val="DefaultParagraphFont"/>
    <w:uiPriority w:val="32"/>
    <w:rsid w:val="0045739C"/>
    <w:rPr>
      <w:b/>
      <w:bCs/>
      <w:smallCaps/>
      <w:color w:val="008CC8"/>
      <w:spacing w:val="5"/>
      <w:u w:val="single"/>
    </w:rPr>
  </w:style>
  <w:style w:type="paragraph" w:styleId="TOC1">
    <w:name w:val="toc 1"/>
    <w:basedOn w:val="Normal"/>
    <w:next w:val="Normal"/>
    <w:link w:val="TOC1Char"/>
    <w:autoRedefine/>
    <w:uiPriority w:val="39"/>
    <w:unhideWhenUsed/>
    <w:qFormat/>
    <w:rsid w:val="008F7868"/>
    <w:pPr>
      <w:tabs>
        <w:tab w:val="left" w:pos="284"/>
        <w:tab w:val="left" w:pos="567"/>
        <w:tab w:val="left" w:pos="851"/>
        <w:tab w:val="right" w:pos="8658"/>
      </w:tabs>
    </w:pPr>
    <w:rPr>
      <w:noProof/>
    </w:rPr>
  </w:style>
  <w:style w:type="paragraph" w:styleId="TOC2">
    <w:name w:val="toc 2"/>
    <w:basedOn w:val="Normal"/>
    <w:next w:val="Normal"/>
    <w:autoRedefine/>
    <w:uiPriority w:val="39"/>
    <w:unhideWhenUsed/>
    <w:qFormat/>
    <w:rsid w:val="008F7868"/>
    <w:pPr>
      <w:tabs>
        <w:tab w:val="right" w:pos="8658"/>
      </w:tabs>
      <w:spacing w:line="360" w:lineRule="auto"/>
      <w:ind w:left="284"/>
    </w:pPr>
    <w:rPr>
      <w:noProof/>
    </w:rPr>
  </w:style>
  <w:style w:type="paragraph" w:styleId="TOC3">
    <w:name w:val="toc 3"/>
    <w:basedOn w:val="Normal"/>
    <w:next w:val="Normal"/>
    <w:autoRedefine/>
    <w:uiPriority w:val="39"/>
    <w:unhideWhenUsed/>
    <w:qFormat/>
    <w:rsid w:val="008F7868"/>
    <w:pPr>
      <w:tabs>
        <w:tab w:val="right" w:pos="8658"/>
      </w:tabs>
      <w:ind w:left="567"/>
    </w:pPr>
    <w:rPr>
      <w:noProof/>
    </w:rPr>
  </w:style>
  <w:style w:type="paragraph" w:styleId="TOC4">
    <w:name w:val="toc 4"/>
    <w:basedOn w:val="Normal"/>
    <w:next w:val="Normal"/>
    <w:autoRedefine/>
    <w:uiPriority w:val="39"/>
    <w:unhideWhenUsed/>
    <w:qFormat/>
    <w:rsid w:val="008F7868"/>
    <w:pPr>
      <w:tabs>
        <w:tab w:val="right" w:pos="8658"/>
      </w:tabs>
      <w:ind w:left="851"/>
    </w:pPr>
    <w:rPr>
      <w:noProof/>
    </w:rPr>
  </w:style>
  <w:style w:type="paragraph" w:styleId="TOC5">
    <w:name w:val="toc 5"/>
    <w:basedOn w:val="Normal"/>
    <w:next w:val="Normal"/>
    <w:autoRedefine/>
    <w:uiPriority w:val="39"/>
    <w:unhideWhenUsed/>
    <w:rsid w:val="005B7A27"/>
    <w:pPr>
      <w:ind w:left="800"/>
    </w:pPr>
    <w:rPr>
      <w:rFonts w:ascii="Calibri" w:hAnsi="Calibri"/>
    </w:rPr>
  </w:style>
  <w:style w:type="paragraph" w:styleId="TOC6">
    <w:name w:val="toc 6"/>
    <w:basedOn w:val="Normal"/>
    <w:next w:val="Normal"/>
    <w:autoRedefine/>
    <w:uiPriority w:val="39"/>
    <w:unhideWhenUsed/>
    <w:rsid w:val="005B7A27"/>
    <w:pPr>
      <w:ind w:left="1000"/>
    </w:pPr>
    <w:rPr>
      <w:rFonts w:ascii="Calibri" w:hAnsi="Calibri"/>
    </w:rPr>
  </w:style>
  <w:style w:type="paragraph" w:styleId="TOC7">
    <w:name w:val="toc 7"/>
    <w:basedOn w:val="Normal"/>
    <w:next w:val="Normal"/>
    <w:autoRedefine/>
    <w:uiPriority w:val="39"/>
    <w:unhideWhenUsed/>
    <w:rsid w:val="005B7A27"/>
    <w:pPr>
      <w:ind w:left="1200"/>
    </w:pPr>
    <w:rPr>
      <w:rFonts w:ascii="Calibri" w:hAnsi="Calibri"/>
    </w:rPr>
  </w:style>
  <w:style w:type="paragraph" w:styleId="TOC8">
    <w:name w:val="toc 8"/>
    <w:basedOn w:val="Normal"/>
    <w:next w:val="Normal"/>
    <w:autoRedefine/>
    <w:uiPriority w:val="39"/>
    <w:unhideWhenUsed/>
    <w:rsid w:val="005B7A27"/>
    <w:pPr>
      <w:ind w:left="1400"/>
    </w:pPr>
    <w:rPr>
      <w:rFonts w:ascii="Calibri" w:hAnsi="Calibri"/>
    </w:rPr>
  </w:style>
  <w:style w:type="paragraph" w:styleId="TOC9">
    <w:name w:val="toc 9"/>
    <w:basedOn w:val="Normal"/>
    <w:next w:val="Normal"/>
    <w:autoRedefine/>
    <w:uiPriority w:val="39"/>
    <w:unhideWhenUsed/>
    <w:rsid w:val="005B7A27"/>
    <w:pPr>
      <w:ind w:left="1600"/>
    </w:pPr>
    <w:rPr>
      <w:rFonts w:ascii="Calibri" w:hAnsi="Calibri"/>
    </w:rPr>
  </w:style>
  <w:style w:type="paragraph" w:styleId="TOCHeading">
    <w:name w:val="TOC Heading"/>
    <w:basedOn w:val="Heading1"/>
    <w:next w:val="Normal"/>
    <w:uiPriority w:val="39"/>
    <w:unhideWhenUsed/>
    <w:rsid w:val="00FB0633"/>
    <w:pPr>
      <w:keepNext/>
      <w:keepLines/>
      <w:spacing w:before="480" w:line="276" w:lineRule="auto"/>
      <w:outlineLvl w:val="9"/>
    </w:pPr>
    <w:rPr>
      <w:rFonts w:ascii="Calibri" w:hAnsi="Calibri"/>
      <w:b w:val="0"/>
      <w:bCs/>
      <w:color w:val="003B7C"/>
      <w:sz w:val="30"/>
      <w:szCs w:val="28"/>
    </w:rPr>
  </w:style>
  <w:style w:type="paragraph" w:customStyle="1" w:styleId="PRITOC1">
    <w:name w:val="PRI TOC 1"/>
    <w:basedOn w:val="TOC1"/>
    <w:link w:val="PRITOC1Char"/>
    <w:uiPriority w:val="10"/>
    <w:rsid w:val="005827D1"/>
    <w:rPr>
      <w:b/>
      <w:sz w:val="24"/>
    </w:rPr>
  </w:style>
  <w:style w:type="character" w:customStyle="1" w:styleId="TOC1Char">
    <w:name w:val="TOC 1 Char"/>
    <w:basedOn w:val="DefaultParagraphFont"/>
    <w:link w:val="TOC1"/>
    <w:uiPriority w:val="39"/>
    <w:rsid w:val="008F7868"/>
    <w:rPr>
      <w:rFonts w:ascii="Alright Sans Regular" w:hAnsi="Alright Sans Regular" w:cs="Arial"/>
      <w:noProof/>
      <w:sz w:val="20"/>
      <w:szCs w:val="20"/>
    </w:rPr>
  </w:style>
  <w:style w:type="character" w:customStyle="1" w:styleId="PRITOC1Char">
    <w:name w:val="PRI TOC 1 Char"/>
    <w:basedOn w:val="TOC1Char"/>
    <w:link w:val="PRITOC1"/>
    <w:uiPriority w:val="10"/>
    <w:rsid w:val="00FA4069"/>
    <w:rPr>
      <w:rFonts w:ascii="Arial" w:hAnsi="Arial" w:cs="Arial"/>
      <w:b/>
      <w:noProof/>
      <w:sz w:val="20"/>
      <w:szCs w:val="20"/>
    </w:rPr>
  </w:style>
  <w:style w:type="character" w:styleId="PageNumber">
    <w:name w:val="page number"/>
    <w:basedOn w:val="DefaultParagraphFont"/>
    <w:uiPriority w:val="99"/>
    <w:semiHidden/>
    <w:unhideWhenUsed/>
    <w:rsid w:val="0071094E"/>
  </w:style>
  <w:style w:type="table" w:styleId="MediumShading1-Accent3">
    <w:name w:val="Medium Shading 1 Accent 3"/>
    <w:basedOn w:val="TableNormal"/>
    <w:uiPriority w:val="63"/>
    <w:rsid w:val="00D30BA3"/>
    <w:tblPr>
      <w:tblStyleRowBandSize w:val="1"/>
      <w:tblStyleColBandSize w:val="1"/>
      <w:tblBorders>
        <w:top w:val="single" w:sz="8" w:space="0" w:color="34C7FF"/>
        <w:left w:val="single" w:sz="8" w:space="0" w:color="34C7FF"/>
        <w:bottom w:val="single" w:sz="8" w:space="0" w:color="34C7FF"/>
        <w:right w:val="single" w:sz="8" w:space="0" w:color="34C7FF"/>
        <w:insideH w:val="single" w:sz="8" w:space="0" w:color="34C7FF"/>
      </w:tblBorders>
    </w:tblPr>
    <w:tblStylePr w:type="firstRow">
      <w:pPr>
        <w:spacing w:before="0" w:after="0" w:line="240" w:lineRule="auto"/>
      </w:pPr>
      <w:rPr>
        <w:b/>
        <w:bCs/>
        <w:color w:val="FFFFFF"/>
      </w:rPr>
      <w:tblPr/>
      <w:tcPr>
        <w:tcBorders>
          <w:top w:val="single" w:sz="8" w:space="0" w:color="34C7FF"/>
          <w:left w:val="single" w:sz="8" w:space="0" w:color="34C7FF"/>
          <w:bottom w:val="single" w:sz="8" w:space="0" w:color="34C7FF"/>
          <w:right w:val="single" w:sz="8" w:space="0" w:color="34C7FF"/>
          <w:insideH w:val="nil"/>
          <w:insideV w:val="nil"/>
        </w:tcBorders>
        <w:shd w:val="clear" w:color="auto" w:fill="00AFF0"/>
      </w:tcPr>
    </w:tblStylePr>
    <w:tblStylePr w:type="lastRow">
      <w:pPr>
        <w:spacing w:before="0" w:after="0" w:line="240" w:lineRule="auto"/>
      </w:pPr>
      <w:rPr>
        <w:b/>
        <w:bCs/>
      </w:rPr>
      <w:tblPr/>
      <w:tcPr>
        <w:tcBorders>
          <w:top w:val="double" w:sz="6" w:space="0" w:color="34C7FF"/>
          <w:left w:val="single" w:sz="8" w:space="0" w:color="34C7FF"/>
          <w:bottom w:val="single" w:sz="8" w:space="0" w:color="34C7FF"/>
          <w:right w:val="single" w:sz="8" w:space="0" w:color="34C7FF"/>
          <w:insideH w:val="nil"/>
          <w:insideV w:val="nil"/>
        </w:tcBorders>
      </w:tcPr>
    </w:tblStylePr>
    <w:tblStylePr w:type="firstCol">
      <w:rPr>
        <w:b/>
        <w:bCs/>
      </w:rPr>
    </w:tblStylePr>
    <w:tblStylePr w:type="lastCol">
      <w:rPr>
        <w:b/>
        <w:bCs/>
      </w:rPr>
    </w:tblStylePr>
    <w:tblStylePr w:type="band1Vert">
      <w:tblPr/>
      <w:tcPr>
        <w:shd w:val="clear" w:color="auto" w:fill="BCECFF"/>
      </w:tcPr>
    </w:tblStylePr>
    <w:tblStylePr w:type="band1Horz">
      <w:tblPr/>
      <w:tcPr>
        <w:tcBorders>
          <w:insideH w:val="nil"/>
          <w:insideV w:val="nil"/>
        </w:tcBorders>
        <w:shd w:val="clear" w:color="auto" w:fill="BCECFF"/>
      </w:tcPr>
    </w:tblStylePr>
    <w:tblStylePr w:type="band2Horz">
      <w:tblPr/>
      <w:tcPr>
        <w:tcBorders>
          <w:insideH w:val="nil"/>
          <w:insideV w:val="nil"/>
        </w:tcBorders>
      </w:tcPr>
    </w:tblStylePr>
  </w:style>
  <w:style w:type="table" w:customStyle="1" w:styleId="PRITable">
    <w:name w:val="PRI Table"/>
    <w:basedOn w:val="TableNormal"/>
    <w:uiPriority w:val="99"/>
    <w:rsid w:val="00CD3D0F"/>
    <w:pPr>
      <w:spacing w:before="240" w:after="120"/>
      <w:ind w:left="170" w:right="170"/>
    </w:pPr>
    <w:tblPr>
      <w:tblBorders>
        <w:top w:val="dashed" w:sz="4" w:space="0" w:color="A6A6A6" w:themeColor="background1" w:themeShade="A6"/>
        <w:left w:val="single" w:sz="8" w:space="0" w:color="FFFFFF" w:themeColor="background1"/>
        <w:bottom w:val="single" w:sz="8" w:space="0" w:color="FFFFFF" w:themeColor="background1"/>
        <w:right w:val="single" w:sz="8" w:space="0" w:color="FFFFFF" w:themeColor="background1"/>
        <w:insideH w:val="dashed" w:sz="4" w:space="0" w:color="808080" w:themeColor="background1" w:themeShade="80"/>
        <w:insideV w:val="dashed" w:sz="4" w:space="0" w:color="808080" w:themeColor="background1" w:themeShade="80"/>
      </w:tblBorders>
      <w:tblCellMar>
        <w:top w:w="113" w:type="dxa"/>
        <w:left w:w="0" w:type="dxa"/>
        <w:bottom w:w="113" w:type="dxa"/>
        <w:right w:w="0" w:type="dxa"/>
      </w:tblCellMar>
    </w:tblPr>
    <w:tcPr>
      <w:shd w:val="clear" w:color="auto" w:fill="auto"/>
      <w:tcMar>
        <w:top w:w="57" w:type="dxa"/>
        <w:bottom w:w="57" w:type="dxa"/>
      </w:tcMar>
      <w:vAlign w:val="center"/>
    </w:tcPr>
    <w:tblStylePr w:type="firstRow">
      <w:pPr>
        <w:wordWrap/>
        <w:spacing w:beforeLines="0" w:beforeAutospacing="0" w:afterLines="0" w:afterAutospacing="0" w:line="360" w:lineRule="auto"/>
        <w:ind w:leftChars="0" w:left="170" w:rightChars="0" w:right="170"/>
        <w:contextualSpacing/>
        <w:jc w:val="left"/>
      </w:pPr>
      <w:rPr>
        <w:rFonts w:ascii="Arial" w:hAnsi="Arial"/>
        <w:b/>
        <w:bCs/>
        <w:i w:val="0"/>
        <w:iCs w:val="0"/>
        <w:caps w:val="0"/>
        <w:smallCaps w:val="0"/>
        <w:strike w:val="0"/>
        <w:dstrike w:val="0"/>
        <w:vanish w:val="0"/>
        <w:color w:val="auto"/>
        <w:kern w:val="0"/>
        <w:sz w:val="24"/>
        <w:szCs w:val="24"/>
        <w:u w:val="none"/>
        <w:vertAlign w:val="baseline"/>
      </w:rPr>
      <w:tblPr/>
      <w:tcPr>
        <w:tcBorders>
          <w:top w:val="dashed" w:sz="4" w:space="0" w:color="FFFFFF" w:themeColor="background1"/>
          <w:left w:val="dashed" w:sz="4" w:space="0" w:color="FFFFFF" w:themeColor="background1"/>
          <w:bottom w:val="single" w:sz="18" w:space="0" w:color="0D74C8"/>
          <w:right w:val="dashed" w:sz="4" w:space="0" w:color="FFFFFF" w:themeColor="background1"/>
          <w:insideH w:val="nil"/>
          <w:insideV w:val="dashed" w:sz="4" w:space="0" w:color="1159BE"/>
          <w:tl2br w:val="nil"/>
          <w:tr2bl w:val="nil"/>
        </w:tcBorders>
        <w:shd w:val="clear" w:color="auto" w:fill="auto"/>
      </w:tcPr>
    </w:tblStylePr>
    <w:tblStylePr w:type="firstCol">
      <w:rPr>
        <w:rFonts w:ascii="Arial" w:hAnsi="Arial"/>
        <w:b w:val="0"/>
        <w:i w:val="0"/>
        <w:sz w:val="20"/>
      </w:rPr>
    </w:tblStylePr>
  </w:style>
  <w:style w:type="paragraph" w:styleId="NormalWeb">
    <w:name w:val="Normal (Web)"/>
    <w:basedOn w:val="Normal"/>
    <w:uiPriority w:val="99"/>
    <w:semiHidden/>
    <w:unhideWhenUsed/>
    <w:rsid w:val="00A63E5B"/>
    <w:pPr>
      <w:spacing w:before="100" w:beforeAutospacing="1" w:after="100" w:afterAutospacing="1"/>
    </w:pPr>
    <w:rPr>
      <w:rFonts w:ascii="Times" w:hAnsi="Times"/>
    </w:rPr>
  </w:style>
  <w:style w:type="table" w:styleId="TableGrid">
    <w:name w:val="Table Grid"/>
    <w:basedOn w:val="TableNormal"/>
    <w:uiPriority w:val="59"/>
    <w:rsid w:val="00F35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F35021"/>
    <w:rPr>
      <w:color w:val="8F8F8F"/>
    </w:rPr>
    <w:tblPr>
      <w:tblStyleRowBandSize w:val="1"/>
      <w:tblStyleColBandSize w:val="1"/>
      <w:tblBorders>
        <w:top w:val="single" w:sz="8" w:space="0" w:color="BFBFBF"/>
        <w:bottom w:val="single" w:sz="8" w:space="0" w:color="BFBFBF"/>
      </w:tblBorders>
    </w:tblPr>
    <w:tblStylePr w:type="fir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lastRow">
      <w:pPr>
        <w:spacing w:before="0" w:after="0" w:line="240" w:lineRule="auto"/>
      </w:pPr>
      <w:rPr>
        <w:b/>
        <w:bCs/>
      </w:rPr>
      <w:tblPr/>
      <w:tcPr>
        <w:tcBorders>
          <w:top w:val="single" w:sz="8" w:space="0" w:color="BFBFBF"/>
          <w:left w:val="nil"/>
          <w:bottom w:val="single" w:sz="8" w:space="0" w:color="BFBF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cPr>
    </w:tblStylePr>
    <w:tblStylePr w:type="band1Horz">
      <w:tblPr/>
      <w:tcPr>
        <w:tcBorders>
          <w:left w:val="nil"/>
          <w:right w:val="nil"/>
          <w:insideH w:val="nil"/>
          <w:insideV w:val="nil"/>
        </w:tcBorders>
        <w:shd w:val="clear" w:color="auto" w:fill="EFEFEF"/>
      </w:tcPr>
    </w:tblStylePr>
  </w:style>
  <w:style w:type="paragraph" w:styleId="BalloonText">
    <w:name w:val="Balloon Text"/>
    <w:basedOn w:val="Normal"/>
    <w:link w:val="BalloonTextChar"/>
    <w:uiPriority w:val="99"/>
    <w:semiHidden/>
    <w:unhideWhenUsed/>
    <w:rsid w:val="006659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596D"/>
    <w:rPr>
      <w:rFonts w:ascii="Lucida Grande" w:hAnsi="Lucida Grande" w:cs="Lucida Grande"/>
      <w:sz w:val="18"/>
      <w:szCs w:val="18"/>
    </w:rPr>
  </w:style>
  <w:style w:type="numbering" w:customStyle="1" w:styleId="PRINumbering">
    <w:name w:val="PRI Numbering"/>
    <w:basedOn w:val="NoList"/>
    <w:uiPriority w:val="99"/>
    <w:rsid w:val="003513E0"/>
    <w:pPr>
      <w:numPr>
        <w:numId w:val="6"/>
      </w:numPr>
    </w:pPr>
  </w:style>
  <w:style w:type="paragraph" w:styleId="ListNumber">
    <w:name w:val="List Number"/>
    <w:basedOn w:val="Normal"/>
    <w:autoRedefine/>
    <w:uiPriority w:val="99"/>
    <w:semiHidden/>
    <w:unhideWhenUsed/>
    <w:rsid w:val="00F52AC9"/>
    <w:pPr>
      <w:numPr>
        <w:numId w:val="1"/>
      </w:numPr>
    </w:pPr>
  </w:style>
  <w:style w:type="paragraph" w:styleId="ListNumber2">
    <w:name w:val="List Number 2"/>
    <w:basedOn w:val="Normal"/>
    <w:autoRedefine/>
    <w:uiPriority w:val="99"/>
    <w:semiHidden/>
    <w:unhideWhenUsed/>
    <w:rsid w:val="00F52AC9"/>
    <w:pPr>
      <w:numPr>
        <w:numId w:val="2"/>
      </w:numPr>
    </w:pPr>
  </w:style>
  <w:style w:type="paragraph" w:styleId="ListNumber3">
    <w:name w:val="List Number 3"/>
    <w:basedOn w:val="Normal"/>
    <w:autoRedefine/>
    <w:uiPriority w:val="99"/>
    <w:semiHidden/>
    <w:unhideWhenUsed/>
    <w:rsid w:val="00F52AC9"/>
    <w:pPr>
      <w:numPr>
        <w:numId w:val="3"/>
      </w:numPr>
    </w:pPr>
  </w:style>
  <w:style w:type="paragraph" w:styleId="ListNumber4">
    <w:name w:val="List Number 4"/>
    <w:basedOn w:val="Normal"/>
    <w:autoRedefine/>
    <w:uiPriority w:val="99"/>
    <w:semiHidden/>
    <w:unhideWhenUsed/>
    <w:rsid w:val="00F52AC9"/>
    <w:pPr>
      <w:numPr>
        <w:numId w:val="4"/>
      </w:numPr>
    </w:pPr>
  </w:style>
  <w:style w:type="paragraph" w:styleId="ListNumber5">
    <w:name w:val="List Number 5"/>
    <w:basedOn w:val="Normal"/>
    <w:autoRedefine/>
    <w:uiPriority w:val="99"/>
    <w:unhideWhenUsed/>
    <w:rsid w:val="00F52AC9"/>
    <w:pPr>
      <w:numPr>
        <w:numId w:val="5"/>
      </w:numPr>
    </w:pPr>
  </w:style>
  <w:style w:type="character" w:customStyle="1" w:styleId="Heading5Char">
    <w:name w:val="Heading 5 Char"/>
    <w:basedOn w:val="DefaultParagraphFont"/>
    <w:uiPriority w:val="19"/>
    <w:semiHidden/>
    <w:rsid w:val="003513E0"/>
    <w:rPr>
      <w:rFonts w:asciiTheme="majorHAnsi" w:eastAsiaTheme="majorEastAsia" w:hAnsiTheme="majorHAnsi" w:cstheme="majorBidi"/>
      <w:color w:val="243F60" w:themeColor="accent1" w:themeShade="7F"/>
      <w:sz w:val="22"/>
      <w:lang w:val="en-US"/>
    </w:rPr>
  </w:style>
  <w:style w:type="character" w:customStyle="1" w:styleId="Heading6Char">
    <w:name w:val="Heading 6 Char"/>
    <w:basedOn w:val="DefaultParagraphFont"/>
    <w:uiPriority w:val="19"/>
    <w:semiHidden/>
    <w:rsid w:val="003513E0"/>
    <w:rPr>
      <w:rFonts w:asciiTheme="majorHAnsi" w:eastAsiaTheme="majorEastAsia" w:hAnsiTheme="majorHAnsi" w:cstheme="majorBidi"/>
      <w:i/>
      <w:iCs/>
      <w:color w:val="243F60" w:themeColor="accent1" w:themeShade="7F"/>
      <w:sz w:val="22"/>
      <w:lang w:val="en-US"/>
    </w:rPr>
  </w:style>
  <w:style w:type="character" w:customStyle="1" w:styleId="Heading7Char">
    <w:name w:val="Heading 7 Char"/>
    <w:basedOn w:val="DefaultParagraphFont"/>
    <w:uiPriority w:val="19"/>
    <w:semiHidden/>
    <w:rsid w:val="003513E0"/>
    <w:rPr>
      <w:rFonts w:asciiTheme="majorHAnsi" w:eastAsiaTheme="majorEastAsia" w:hAnsiTheme="majorHAnsi" w:cstheme="majorBidi"/>
      <w:i/>
      <w:iCs/>
      <w:color w:val="404040" w:themeColor="text1" w:themeTint="BF"/>
      <w:sz w:val="22"/>
      <w:lang w:val="en-US"/>
    </w:rPr>
  </w:style>
  <w:style w:type="character" w:customStyle="1" w:styleId="Heading8Char">
    <w:name w:val="Heading 8 Char"/>
    <w:basedOn w:val="DefaultParagraphFont"/>
    <w:uiPriority w:val="19"/>
    <w:semiHidden/>
    <w:rsid w:val="003513E0"/>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uiPriority w:val="19"/>
    <w:semiHidden/>
    <w:rsid w:val="003513E0"/>
    <w:rPr>
      <w:rFonts w:asciiTheme="majorHAnsi" w:eastAsiaTheme="majorEastAsia" w:hAnsiTheme="majorHAnsi" w:cstheme="majorBidi"/>
      <w:i/>
      <w:iCs/>
      <w:color w:val="404040" w:themeColor="text1" w:themeTint="BF"/>
      <w:lang w:val="en-US"/>
    </w:rPr>
  </w:style>
  <w:style w:type="table" w:styleId="MediumList1-Accent6">
    <w:name w:val="Medium List 1 Accent 6"/>
    <w:basedOn w:val="TableNormal"/>
    <w:uiPriority w:val="19"/>
    <w:rsid w:val="00E966D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21"/>
    <w:rsid w:val="00E966D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29"/>
    <w:qFormat/>
    <w:rsid w:val="00E966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30"/>
    <w:rsid w:val="00E966D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6">
    <w:name w:val="Medium Grid 1 Accent 6"/>
    <w:basedOn w:val="TableNormal"/>
    <w:uiPriority w:val="31"/>
    <w:rsid w:val="00E966D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34"/>
    <w:qFormat/>
    <w:rsid w:val="00E966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1-Accent2">
    <w:name w:val="Medium Grid 1 Accent 2"/>
    <w:basedOn w:val="TableNormal"/>
    <w:uiPriority w:val="62"/>
    <w:rsid w:val="00E966D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1">
    <w:name w:val="Medium Grid 1 Accent 1"/>
    <w:basedOn w:val="TableNormal"/>
    <w:uiPriority w:val="62"/>
    <w:rsid w:val="00E966D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2"/>
    <w:rsid w:val="00E96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5">
    <w:name w:val="Medium List 2 Accent 5"/>
    <w:basedOn w:val="TableNormal"/>
    <w:uiPriority w:val="61"/>
    <w:rsid w:val="00E966D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RITable2">
    <w:name w:val="PRI Table 2"/>
    <w:basedOn w:val="TableNormal"/>
    <w:uiPriority w:val="99"/>
    <w:rsid w:val="00F02E05"/>
    <w:pPr>
      <w:ind w:left="170" w:right="170"/>
    </w:p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customStyle="1" w:styleId="PRIQuoteBlue">
    <w:name w:val="PRI Quote Blue"/>
    <w:basedOn w:val="Quote"/>
    <w:link w:val="PRIQuoteBlueChar"/>
    <w:uiPriority w:val="6"/>
    <w:qFormat/>
    <w:rsid w:val="00814307"/>
    <w:rPr>
      <w:color w:val="00B0F0"/>
    </w:rPr>
  </w:style>
  <w:style w:type="character" w:customStyle="1" w:styleId="PRIQuoteBlueChar">
    <w:name w:val="PRI Quote Blue Char"/>
    <w:basedOn w:val="QuoteChar"/>
    <w:link w:val="PRIQuoteBlue"/>
    <w:uiPriority w:val="6"/>
    <w:rsid w:val="00AA4F37"/>
    <w:rPr>
      <w:rFonts w:ascii="Arial" w:hAnsi="Arial" w:cs="Arial"/>
      <w:color w:val="00B0F0"/>
      <w:sz w:val="32"/>
    </w:rPr>
  </w:style>
  <w:style w:type="paragraph" w:styleId="ListBullet2">
    <w:name w:val="List Bullet 2"/>
    <w:basedOn w:val="Normal"/>
    <w:uiPriority w:val="6"/>
    <w:qFormat/>
    <w:rsid w:val="000672B9"/>
    <w:pPr>
      <w:numPr>
        <w:numId w:val="7"/>
      </w:numPr>
      <w:ind w:left="641" w:hanging="357"/>
    </w:pPr>
  </w:style>
  <w:style w:type="paragraph" w:styleId="ListBullet3">
    <w:name w:val="List Bullet 3"/>
    <w:basedOn w:val="Normal"/>
    <w:uiPriority w:val="6"/>
    <w:qFormat/>
    <w:rsid w:val="000672B9"/>
    <w:pPr>
      <w:numPr>
        <w:numId w:val="8"/>
      </w:numPr>
      <w:ind w:left="924" w:hanging="357"/>
    </w:pPr>
  </w:style>
  <w:style w:type="paragraph" w:styleId="ListBullet4">
    <w:name w:val="List Bullet 4"/>
    <w:basedOn w:val="Normal"/>
    <w:uiPriority w:val="99"/>
    <w:unhideWhenUsed/>
    <w:qFormat/>
    <w:rsid w:val="006877A4"/>
    <w:pPr>
      <w:numPr>
        <w:numId w:val="9"/>
      </w:numPr>
    </w:pPr>
  </w:style>
  <w:style w:type="paragraph" w:styleId="ListBullet5">
    <w:name w:val="List Bullet 5"/>
    <w:basedOn w:val="Normal"/>
    <w:uiPriority w:val="99"/>
    <w:unhideWhenUsed/>
    <w:qFormat/>
    <w:rsid w:val="006877A4"/>
    <w:pPr>
      <w:numPr>
        <w:numId w:val="10"/>
      </w:numPr>
    </w:pPr>
  </w:style>
  <w:style w:type="paragraph" w:styleId="ListParagraph">
    <w:name w:val="List Paragraph"/>
    <w:basedOn w:val="Normal"/>
    <w:uiPriority w:val="34"/>
    <w:qFormat/>
    <w:rsid w:val="00AA4F37"/>
    <w:pPr>
      <w:ind w:left="720"/>
    </w:pPr>
  </w:style>
  <w:style w:type="numbering" w:customStyle="1" w:styleId="prilist">
    <w:name w:val="pri list"/>
    <w:uiPriority w:val="99"/>
    <w:rsid w:val="000672B9"/>
    <w:pPr>
      <w:numPr>
        <w:numId w:val="11"/>
      </w:numPr>
    </w:pPr>
  </w:style>
  <w:style w:type="paragraph" w:customStyle="1" w:styleId="2Body">
    <w:name w:val="2 Body"/>
    <w:basedOn w:val="Normal"/>
    <w:uiPriority w:val="99"/>
    <w:rsid w:val="00493AC6"/>
    <w:pPr>
      <w:autoSpaceDE w:val="0"/>
      <w:autoSpaceDN w:val="0"/>
      <w:spacing w:line="288" w:lineRule="auto"/>
    </w:pPr>
    <w:rPr>
      <w:rFonts w:ascii="Alright Sans Regular" w:eastAsiaTheme="minorHAnsi" w:hAnsi="Alright Sans Regular"/>
      <w:color w:val="000000"/>
      <w:sz w:val="18"/>
      <w:szCs w:val="18"/>
    </w:rPr>
  </w:style>
  <w:style w:type="paragraph" w:customStyle="1" w:styleId="Default">
    <w:name w:val="Default"/>
    <w:rsid w:val="007156EF"/>
    <w:pPr>
      <w:autoSpaceDE w:val="0"/>
      <w:autoSpaceDN w:val="0"/>
      <w:adjustRightInd w:val="0"/>
      <w:spacing w:line="240" w:lineRule="auto"/>
      <w:ind w:left="0" w:firstLine="0"/>
    </w:pPr>
    <w:rPr>
      <w:rFonts w:ascii="Calibri" w:hAnsi="Calibri" w:cs="Calibri"/>
      <w:color w:val="000000"/>
      <w:sz w:val="24"/>
      <w:szCs w:val="24"/>
    </w:rPr>
  </w:style>
  <w:style w:type="paragraph" w:styleId="PlainText">
    <w:name w:val="Plain Text"/>
    <w:basedOn w:val="Normal"/>
    <w:link w:val="PlainTextChar"/>
    <w:uiPriority w:val="99"/>
    <w:unhideWhenUsed/>
    <w:rsid w:val="00A46890"/>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890"/>
    <w:rPr>
      <w:rFonts w:ascii="Calibri" w:eastAsiaTheme="minorHAnsi" w:hAnsi="Calibri" w:cstheme="minorBidi"/>
      <w:sz w:val="22"/>
      <w:szCs w:val="21"/>
    </w:rPr>
  </w:style>
  <w:style w:type="character" w:customStyle="1" w:styleId="Heading5Char1">
    <w:name w:val="Heading 5 Char1"/>
    <w:basedOn w:val="DefaultParagraphFont"/>
    <w:link w:val="Heading5"/>
    <w:uiPriority w:val="19"/>
    <w:semiHidden/>
    <w:rsid w:val="00A46890"/>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3D55D2"/>
    <w:rPr>
      <w:sz w:val="16"/>
      <w:szCs w:val="16"/>
    </w:rPr>
  </w:style>
  <w:style w:type="paragraph" w:styleId="CommentText">
    <w:name w:val="annotation text"/>
    <w:basedOn w:val="Normal"/>
    <w:link w:val="CommentTextChar"/>
    <w:uiPriority w:val="99"/>
    <w:semiHidden/>
    <w:unhideWhenUsed/>
    <w:rsid w:val="003D55D2"/>
    <w:pPr>
      <w:spacing w:line="240" w:lineRule="auto"/>
    </w:pPr>
  </w:style>
  <w:style w:type="character" w:customStyle="1" w:styleId="CommentTextChar">
    <w:name w:val="Comment Text Char"/>
    <w:basedOn w:val="DefaultParagraphFont"/>
    <w:link w:val="CommentText"/>
    <w:uiPriority w:val="99"/>
    <w:semiHidden/>
    <w:rsid w:val="003D55D2"/>
  </w:style>
  <w:style w:type="paragraph" w:styleId="CommentSubject">
    <w:name w:val="annotation subject"/>
    <w:basedOn w:val="CommentText"/>
    <w:next w:val="CommentText"/>
    <w:link w:val="CommentSubjectChar"/>
    <w:uiPriority w:val="99"/>
    <w:semiHidden/>
    <w:unhideWhenUsed/>
    <w:rsid w:val="003D55D2"/>
    <w:rPr>
      <w:b/>
      <w:bCs/>
    </w:rPr>
  </w:style>
  <w:style w:type="character" w:customStyle="1" w:styleId="CommentSubjectChar">
    <w:name w:val="Comment Subject Char"/>
    <w:basedOn w:val="CommentTextChar"/>
    <w:link w:val="CommentSubject"/>
    <w:uiPriority w:val="99"/>
    <w:semiHidden/>
    <w:rsid w:val="003D55D2"/>
    <w:rPr>
      <w:b/>
      <w:bCs/>
    </w:rPr>
  </w:style>
  <w:style w:type="character" w:styleId="Hyperlink">
    <w:name w:val="Hyperlink"/>
    <w:basedOn w:val="DefaultParagraphFont"/>
    <w:uiPriority w:val="99"/>
    <w:unhideWhenUsed/>
    <w:rsid w:val="00390BC5"/>
    <w:rPr>
      <w:color w:val="0563C1"/>
      <w:u w:val="single"/>
    </w:rPr>
  </w:style>
  <w:style w:type="character" w:styleId="UnresolvedMention">
    <w:name w:val="Unresolved Mention"/>
    <w:basedOn w:val="DefaultParagraphFont"/>
    <w:uiPriority w:val="99"/>
    <w:semiHidden/>
    <w:unhideWhenUsed/>
    <w:rsid w:val="00721A23"/>
    <w:rPr>
      <w:color w:val="808080"/>
      <w:shd w:val="clear" w:color="auto" w:fill="E6E6E6"/>
    </w:rPr>
  </w:style>
  <w:style w:type="character" w:styleId="PlaceholderText">
    <w:name w:val="Placeholder Text"/>
    <w:basedOn w:val="DefaultParagraphFont"/>
    <w:uiPriority w:val="67"/>
    <w:semiHidden/>
    <w:rsid w:val="0058581F"/>
    <w:rPr>
      <w:color w:val="808080"/>
    </w:rPr>
  </w:style>
  <w:style w:type="paragraph" w:customStyle="1" w:styleId="SectionIndicatorHeaderText">
    <w:name w:val="Section Indicator Header Text"/>
    <w:basedOn w:val="Normal"/>
    <w:qFormat/>
    <w:rsid w:val="00826B06"/>
    <w:pPr>
      <w:spacing w:before="60" w:after="120" w:line="240" w:lineRule="auto"/>
      <w:ind w:left="170"/>
    </w:pPr>
    <w:rPr>
      <w:rFonts w:eastAsia="Times New Roman" w:cs="Arial"/>
      <w:color w:val="FFFFFF" w:themeColor="background1"/>
    </w:rPr>
  </w:style>
  <w:style w:type="table" w:customStyle="1" w:styleId="SubSectionIndicatorHeaderMANDATORY">
    <w:name w:val="Sub Section Indicator Header MANDATORY"/>
    <w:basedOn w:val="TableNormal"/>
    <w:uiPriority w:val="99"/>
    <w:rsid w:val="00826B06"/>
    <w:pPr>
      <w:spacing w:before="60" w:after="120" w:line="240" w:lineRule="auto"/>
      <w:ind w:left="170" w:firstLine="0"/>
    </w:pPr>
    <w:rPr>
      <w:rFonts w:eastAsia="Times New Roman" w:cs="Arial"/>
      <w:color w:val="FFFFFF" w:themeColor="background1"/>
      <w:sz w:val="18"/>
      <w:lang w:eastAsia="en-GB"/>
    </w:rPr>
    <w:tblPr>
      <w:tblInd w:w="567" w:type="dxa"/>
      <w:tblBorders>
        <w:insideV w:val="single" w:sz="4" w:space="0" w:color="FFFFFF" w:themeColor="background1"/>
      </w:tblBorders>
      <w:tblCellMar>
        <w:left w:w="0" w:type="dxa"/>
      </w:tblCellMar>
    </w:tblPr>
    <w:tcPr>
      <w:shd w:val="clear" w:color="auto" w:fill="0082C8"/>
    </w:tcPr>
    <w:tblStylePr w:type="firstRow">
      <w:pPr>
        <w:wordWrap/>
        <w:spacing w:beforeLines="0" w:beforeAutospacing="0" w:afterLines="0" w:afterAutospacing="0"/>
        <w:ind w:leftChars="0" w:left="170" w:firstLineChars="0" w:firstLine="0"/>
        <w:jc w:val="left"/>
      </w:pPr>
      <w:rPr>
        <w:rFonts w:ascii="Arial" w:hAnsi="Arial"/>
        <w:b w:val="0"/>
        <w:bCs w:val="0"/>
        <w:i w:val="0"/>
        <w:iCs w:val="0"/>
        <w:sz w:val="14"/>
        <w:szCs w:val="14"/>
      </w:rPr>
    </w:tblStylePr>
    <w:tblStylePr w:type="lastRow">
      <w:pPr>
        <w:wordWrap/>
        <w:spacing w:beforeLines="0" w:beforeAutospacing="0" w:afterLines="0" w:afterAutospacing="0"/>
        <w:ind w:leftChars="0" w:left="170" w:firstLineChars="0" w:firstLine="0"/>
      </w:pPr>
      <w:rPr>
        <w:rFonts w:ascii="Arial" w:hAnsi="Arial"/>
        <w:b/>
        <w:i w:val="0"/>
        <w:color w:val="FFFFFF" w:themeColor="background1"/>
        <w:sz w:val="20"/>
      </w:rPr>
    </w:tblStylePr>
    <w:tblStylePr w:type="firstCol">
      <w:tblPr/>
      <w:tcPr>
        <w:shd w:val="clear" w:color="auto" w:fill="00AAF0"/>
      </w:tcPr>
    </w:tblStylePr>
    <w:tblStylePr w:type="lastCol">
      <w:tblPr/>
      <w:tcPr>
        <w:shd w:val="clear" w:color="auto" w:fill="0082C8"/>
      </w:tcPr>
    </w:tblStylePr>
  </w:style>
  <w:style w:type="paragraph" w:customStyle="1" w:styleId="INDICATORNUMBER">
    <w:name w:val="INDICATOR NUMBER"/>
    <w:basedOn w:val="Normal"/>
    <w:qFormat/>
    <w:rsid w:val="00826B06"/>
    <w:pPr>
      <w:spacing w:before="120" w:after="120" w:line="240" w:lineRule="auto"/>
      <w:ind w:left="170"/>
    </w:pPr>
    <w:rPr>
      <w:rFonts w:eastAsia="Times New Roman" w:cs="Arial"/>
      <w:b/>
      <w:color w:val="595959"/>
      <w:sz w:val="18"/>
      <w:szCs w:val="18"/>
    </w:rPr>
  </w:style>
  <w:style w:type="paragraph" w:customStyle="1" w:styleId="INDICATORTEXT">
    <w:name w:val="INDICATOR TEXT"/>
    <w:qFormat/>
    <w:rsid w:val="00826B06"/>
    <w:pPr>
      <w:spacing w:before="80" w:after="120" w:line="240" w:lineRule="auto"/>
      <w:ind w:left="170" w:firstLine="0"/>
    </w:pPr>
    <w:rPr>
      <w:rFonts w:eastAsia="Times New Roman" w:cs="Arial"/>
      <w:color w:val="595959"/>
      <w:sz w:val="18"/>
    </w:rPr>
  </w:style>
  <w:style w:type="table" w:customStyle="1" w:styleId="SubSectionIndicatorTableVOLUNTARY">
    <w:name w:val="Sub Section Indicator Table VOLUNTARY"/>
    <w:basedOn w:val="TableNormal"/>
    <w:uiPriority w:val="99"/>
    <w:rsid w:val="00826B06"/>
    <w:pPr>
      <w:spacing w:before="80" w:after="80" w:line="240" w:lineRule="auto"/>
      <w:ind w:left="170" w:firstLine="0"/>
    </w:pPr>
    <w:rPr>
      <w:rFonts w:ascii="Calibri" w:eastAsia="Times New Roman" w:hAnsi="Calibri" w:cs="Arial"/>
      <w:lang w:eastAsia="en-GB"/>
    </w:rPr>
    <w:tblPr>
      <w:tblStyleRowBandSize w:val="1"/>
      <w:tblInd w:w="567" w:type="dxa"/>
      <w:tblBorders>
        <w:top w:val="single" w:sz="4" w:space="0" w:color="595959"/>
        <w:left w:val="single" w:sz="4" w:space="0" w:color="595959"/>
        <w:bottom w:val="single" w:sz="4" w:space="0" w:color="595959"/>
        <w:right w:val="single" w:sz="4" w:space="0" w:color="595959"/>
      </w:tblBorders>
      <w:tblCellMar>
        <w:left w:w="0" w:type="dxa"/>
      </w:tblCellMar>
    </w:tblPr>
    <w:tcPr>
      <w:vAlign w:val="center"/>
    </w:tcPr>
    <w:tblStylePr w:type="firstRow">
      <w:pPr>
        <w:wordWrap/>
        <w:spacing w:beforeLines="0" w:beforeAutospacing="0" w:afterLines="0" w:afterAutospacing="0"/>
        <w:ind w:leftChars="0" w:left="170" w:firstLineChars="0" w:firstLine="0"/>
      </w:pPr>
      <w:rPr>
        <w:rFonts w:ascii="Arial" w:hAnsi="Arial"/>
        <w:b w:val="0"/>
        <w:bCs w:val="0"/>
        <w:i w:val="0"/>
        <w:iCs w:val="0"/>
        <w:color w:val="FFFFFF" w:themeColor="background1"/>
        <w:sz w:val="18"/>
        <w:szCs w:val="18"/>
      </w:rPr>
      <w:tblPr/>
      <w:tcPr>
        <w:tcBorders>
          <w:bottom w:val="single" w:sz="4" w:space="0" w:color="0082C8"/>
          <w:insideV w:val="single" w:sz="4" w:space="0" w:color="FFFFFF" w:themeColor="background1"/>
        </w:tcBorders>
        <w:shd w:val="clear" w:color="auto" w:fill="999999"/>
      </w:tcPr>
    </w:tblStylePr>
    <w:tblStylePr w:type="firstCol">
      <w:tblPr/>
      <w:tcPr>
        <w:tcBorders>
          <w:right w:val="single" w:sz="4" w:space="0" w:color="5A5A5A"/>
        </w:tcBorders>
        <w:shd w:val="clear" w:color="auto" w:fill="E7E7E7"/>
      </w:tcPr>
    </w:tblStylePr>
    <w:tblStylePr w:type="band1Horz">
      <w:tblPr/>
      <w:tcPr>
        <w:tcBorders>
          <w:top w:val="single" w:sz="12" w:space="0" w:color="595959"/>
          <w:bottom w:val="nil"/>
        </w:tcBorders>
        <w:shd w:val="clear" w:color="auto" w:fill="F3F3F3"/>
      </w:tcPr>
    </w:tblStylePr>
    <w:tblStylePr w:type="nwCell">
      <w:tblPr/>
      <w:tcPr>
        <w:tcBorders>
          <w:bottom w:val="single" w:sz="4" w:space="0" w:color="00AAF0"/>
        </w:tcBorders>
        <w:shd w:val="clear" w:color="auto" w:fill="737373"/>
      </w:tcPr>
    </w:tblStylePr>
  </w:style>
  <w:style w:type="table" w:customStyle="1" w:styleId="SubSectionIndicatorHeaderMANDATORY1">
    <w:name w:val="Sub Section Indicator Header MANDATORY1"/>
    <w:basedOn w:val="TableNormal"/>
    <w:uiPriority w:val="99"/>
    <w:rsid w:val="00826B06"/>
    <w:pPr>
      <w:spacing w:before="60" w:after="120" w:line="240" w:lineRule="auto"/>
      <w:ind w:left="170" w:firstLine="0"/>
    </w:pPr>
    <w:rPr>
      <w:rFonts w:eastAsia="Times New Roman" w:cs="Arial"/>
      <w:color w:val="FFFFFF"/>
      <w:sz w:val="18"/>
      <w:lang w:eastAsia="en-GB"/>
    </w:rPr>
    <w:tblPr>
      <w:tblInd w:w="567" w:type="dxa"/>
      <w:tblBorders>
        <w:insideV w:val="single" w:sz="4" w:space="0" w:color="FFFFFF"/>
      </w:tblBorders>
      <w:tblCellMar>
        <w:left w:w="0" w:type="dxa"/>
      </w:tblCellMar>
    </w:tblPr>
    <w:tcPr>
      <w:shd w:val="clear" w:color="auto" w:fill="0082C8"/>
    </w:tcPr>
    <w:tblStylePr w:type="firstRow">
      <w:pPr>
        <w:wordWrap/>
        <w:spacing w:beforeLines="0" w:beforeAutospacing="0" w:afterLines="0" w:afterAutospacing="0"/>
        <w:ind w:leftChars="0" w:left="170" w:firstLineChars="0" w:firstLine="0"/>
        <w:jc w:val="left"/>
      </w:pPr>
      <w:rPr>
        <w:rFonts w:ascii="Arial" w:hAnsi="Arial"/>
        <w:b w:val="0"/>
        <w:bCs w:val="0"/>
        <w:i w:val="0"/>
        <w:iCs w:val="0"/>
        <w:sz w:val="14"/>
        <w:szCs w:val="14"/>
      </w:rPr>
    </w:tblStylePr>
    <w:tblStylePr w:type="lastRow">
      <w:pPr>
        <w:wordWrap/>
        <w:spacing w:beforeLines="0" w:beforeAutospacing="0" w:afterLines="0" w:afterAutospacing="0"/>
        <w:ind w:leftChars="0" w:left="170" w:firstLineChars="0" w:firstLine="0"/>
      </w:pPr>
      <w:rPr>
        <w:rFonts w:ascii="Arial" w:hAnsi="Arial"/>
        <w:b/>
        <w:i w:val="0"/>
        <w:color w:val="FFFFFF"/>
        <w:sz w:val="20"/>
      </w:rPr>
    </w:tblStylePr>
    <w:tblStylePr w:type="firstCol">
      <w:tblPr/>
      <w:tcPr>
        <w:shd w:val="clear" w:color="auto" w:fill="00AAF0"/>
      </w:tcPr>
    </w:tblStylePr>
    <w:tblStylePr w:type="lastCol">
      <w:tblPr/>
      <w:tcPr>
        <w:shd w:val="clear" w:color="auto" w:fill="0082C8"/>
      </w:tcPr>
    </w:tblStylePr>
  </w:style>
  <w:style w:type="table" w:customStyle="1" w:styleId="SubSectionIndicatorTableMANDATORY1">
    <w:name w:val="Sub Section Indicator Table MANDATORY1"/>
    <w:basedOn w:val="TableNormal"/>
    <w:uiPriority w:val="99"/>
    <w:rsid w:val="00826B06"/>
    <w:pPr>
      <w:spacing w:before="80" w:after="80" w:line="240" w:lineRule="auto"/>
      <w:ind w:left="170" w:firstLine="0"/>
    </w:pPr>
    <w:rPr>
      <w:rFonts w:ascii="Calibri" w:eastAsia="Times New Roman" w:hAnsi="Calibri" w:cs="Arial"/>
      <w:lang w:eastAsia="en-GB"/>
    </w:rPr>
    <w:tblPr>
      <w:tblStyleRowBandSize w:val="1"/>
      <w:tblInd w:w="567" w:type="dxa"/>
      <w:tblBorders>
        <w:top w:val="single" w:sz="4" w:space="0" w:color="0082C8"/>
        <w:left w:val="single" w:sz="4" w:space="0" w:color="0082C8"/>
        <w:bottom w:val="single" w:sz="4" w:space="0" w:color="0082C8"/>
        <w:right w:val="single" w:sz="4" w:space="0" w:color="0082C8"/>
      </w:tblBorders>
      <w:tblCellMar>
        <w:left w:w="0" w:type="dxa"/>
      </w:tblCellMar>
    </w:tblPr>
    <w:tcPr>
      <w:vAlign w:val="center"/>
    </w:tcPr>
    <w:tblStylePr w:type="firstRow">
      <w:pPr>
        <w:wordWrap/>
        <w:spacing w:beforeLines="0" w:beforeAutospacing="0" w:afterLines="0" w:afterAutospacing="0"/>
        <w:ind w:leftChars="0" w:left="170" w:firstLineChars="0" w:firstLine="0"/>
      </w:pPr>
      <w:rPr>
        <w:rFonts w:ascii="Arial" w:hAnsi="Arial"/>
        <w:b w:val="0"/>
        <w:bCs w:val="0"/>
        <w:i w:val="0"/>
        <w:iCs w:val="0"/>
        <w:color w:val="FFFFFF"/>
        <w:sz w:val="18"/>
        <w:szCs w:val="18"/>
      </w:rPr>
      <w:tblPr/>
      <w:tcPr>
        <w:tcBorders>
          <w:bottom w:val="single" w:sz="4" w:space="0" w:color="0082C8"/>
          <w:insideV w:val="single" w:sz="4" w:space="0" w:color="FFFFFF"/>
        </w:tcBorders>
        <w:shd w:val="clear" w:color="auto" w:fill="0082C8"/>
      </w:tcPr>
    </w:tblStylePr>
    <w:tblStylePr w:type="firstCol">
      <w:tblPr/>
      <w:tcPr>
        <w:tcBorders>
          <w:right w:val="single" w:sz="4" w:space="0" w:color="5A5A5A"/>
        </w:tcBorders>
        <w:shd w:val="clear" w:color="auto" w:fill="E7E7E7"/>
      </w:tcPr>
    </w:tblStylePr>
    <w:tblStylePr w:type="band1Horz">
      <w:tblPr/>
      <w:tcPr>
        <w:tcBorders>
          <w:top w:val="single" w:sz="12" w:space="0" w:color="005DAA"/>
          <w:bottom w:val="nil"/>
        </w:tcBorders>
        <w:shd w:val="clear" w:color="auto" w:fill="BBD5E9"/>
      </w:tcPr>
    </w:tblStylePr>
    <w:tblStylePr w:type="nwCell">
      <w:tblPr/>
      <w:tcPr>
        <w:tcBorders>
          <w:bottom w:val="single" w:sz="4" w:space="0" w:color="00AAF0"/>
        </w:tcBorders>
        <w:shd w:val="clear" w:color="auto" w:fill="00AAF0"/>
      </w:tcPr>
    </w:tblStylePr>
  </w:style>
  <w:style w:type="table" w:customStyle="1" w:styleId="SubSectionIndicatorHeaderMANDATORY2">
    <w:name w:val="Sub Section Indicator Header MANDATORY2"/>
    <w:basedOn w:val="TableNormal"/>
    <w:uiPriority w:val="99"/>
    <w:rsid w:val="00826B06"/>
    <w:pPr>
      <w:spacing w:before="60" w:after="120" w:line="240" w:lineRule="auto"/>
      <w:ind w:left="170" w:firstLine="0"/>
    </w:pPr>
    <w:rPr>
      <w:rFonts w:eastAsia="Times New Roman" w:cs="Arial"/>
      <w:color w:val="FFFFFF"/>
      <w:sz w:val="18"/>
      <w:lang w:eastAsia="en-GB"/>
    </w:rPr>
    <w:tblPr>
      <w:tblInd w:w="567" w:type="dxa"/>
      <w:tblBorders>
        <w:insideV w:val="single" w:sz="4" w:space="0" w:color="FFFFFF"/>
      </w:tblBorders>
      <w:tblCellMar>
        <w:left w:w="0" w:type="dxa"/>
      </w:tblCellMar>
    </w:tblPr>
    <w:tcPr>
      <w:shd w:val="clear" w:color="auto" w:fill="0082C8"/>
    </w:tcPr>
    <w:tblStylePr w:type="firstRow">
      <w:pPr>
        <w:wordWrap/>
        <w:spacing w:beforeLines="0" w:beforeAutospacing="0" w:afterLines="0" w:afterAutospacing="0"/>
        <w:ind w:leftChars="0" w:left="170" w:firstLineChars="0" w:firstLine="0"/>
        <w:jc w:val="left"/>
      </w:pPr>
      <w:rPr>
        <w:rFonts w:ascii="Arial" w:hAnsi="Arial"/>
        <w:b w:val="0"/>
        <w:bCs w:val="0"/>
        <w:i w:val="0"/>
        <w:iCs w:val="0"/>
        <w:sz w:val="14"/>
        <w:szCs w:val="14"/>
      </w:rPr>
    </w:tblStylePr>
    <w:tblStylePr w:type="lastRow">
      <w:pPr>
        <w:wordWrap/>
        <w:spacing w:beforeLines="0" w:beforeAutospacing="0" w:afterLines="0" w:afterAutospacing="0"/>
        <w:ind w:leftChars="0" w:left="170" w:firstLineChars="0" w:firstLine="0"/>
      </w:pPr>
      <w:rPr>
        <w:rFonts w:ascii="Arial" w:hAnsi="Arial"/>
        <w:b/>
        <w:i w:val="0"/>
        <w:color w:val="FFFFFF"/>
        <w:sz w:val="20"/>
      </w:rPr>
    </w:tblStylePr>
    <w:tblStylePr w:type="firstCol">
      <w:tblPr/>
      <w:tcPr>
        <w:shd w:val="clear" w:color="auto" w:fill="00AAF0"/>
      </w:tcPr>
    </w:tblStylePr>
    <w:tblStylePr w:type="lastCol">
      <w:tblPr/>
      <w:tcPr>
        <w:shd w:val="clear" w:color="auto" w:fill="0082C8"/>
      </w:tcPr>
    </w:tblStylePr>
  </w:style>
  <w:style w:type="table" w:customStyle="1" w:styleId="SubSectionIndicatorTableVOLUNTARY1">
    <w:name w:val="Sub Section Indicator Table VOLUNTARY1"/>
    <w:basedOn w:val="TableNormal"/>
    <w:uiPriority w:val="99"/>
    <w:rsid w:val="00826B06"/>
    <w:pPr>
      <w:spacing w:before="80" w:after="80" w:line="240" w:lineRule="auto"/>
      <w:ind w:left="170" w:firstLine="0"/>
    </w:pPr>
    <w:rPr>
      <w:rFonts w:ascii="Calibri" w:eastAsia="Times New Roman" w:hAnsi="Calibri" w:cs="Arial"/>
      <w:lang w:eastAsia="en-GB"/>
    </w:rPr>
    <w:tblPr>
      <w:tblStyleRowBandSize w:val="1"/>
      <w:tblInd w:w="567" w:type="dxa"/>
      <w:tblBorders>
        <w:top w:val="single" w:sz="4" w:space="0" w:color="595959"/>
        <w:left w:val="single" w:sz="4" w:space="0" w:color="595959"/>
        <w:bottom w:val="single" w:sz="4" w:space="0" w:color="595959"/>
        <w:right w:val="single" w:sz="4" w:space="0" w:color="595959"/>
      </w:tblBorders>
      <w:tblCellMar>
        <w:left w:w="0" w:type="dxa"/>
      </w:tblCellMar>
    </w:tblPr>
    <w:tcPr>
      <w:vAlign w:val="center"/>
    </w:tcPr>
    <w:tblStylePr w:type="firstRow">
      <w:pPr>
        <w:wordWrap/>
        <w:spacing w:beforeLines="0" w:beforeAutospacing="0" w:afterLines="0" w:afterAutospacing="0"/>
        <w:ind w:leftChars="0" w:left="170" w:firstLineChars="0" w:firstLine="0"/>
      </w:pPr>
      <w:rPr>
        <w:rFonts w:ascii="Arial" w:hAnsi="Arial"/>
        <w:b w:val="0"/>
        <w:bCs w:val="0"/>
        <w:i w:val="0"/>
        <w:iCs w:val="0"/>
        <w:color w:val="FFFFFF"/>
        <w:sz w:val="18"/>
        <w:szCs w:val="18"/>
      </w:rPr>
      <w:tblPr/>
      <w:tcPr>
        <w:tcBorders>
          <w:bottom w:val="single" w:sz="4" w:space="0" w:color="0082C8"/>
          <w:insideV w:val="single" w:sz="4" w:space="0" w:color="FFFFFF"/>
        </w:tcBorders>
        <w:shd w:val="clear" w:color="auto" w:fill="999999"/>
      </w:tcPr>
    </w:tblStylePr>
    <w:tblStylePr w:type="firstCol">
      <w:tblPr/>
      <w:tcPr>
        <w:tcBorders>
          <w:right w:val="single" w:sz="4" w:space="0" w:color="5A5A5A"/>
        </w:tcBorders>
        <w:shd w:val="clear" w:color="auto" w:fill="E7E7E7"/>
      </w:tcPr>
    </w:tblStylePr>
    <w:tblStylePr w:type="band1Horz">
      <w:tblPr/>
      <w:tcPr>
        <w:tcBorders>
          <w:top w:val="single" w:sz="12" w:space="0" w:color="595959"/>
          <w:bottom w:val="nil"/>
        </w:tcBorders>
        <w:shd w:val="clear" w:color="auto" w:fill="F3F3F3"/>
      </w:tcPr>
    </w:tblStylePr>
    <w:tblStylePr w:type="nwCell">
      <w:tblPr/>
      <w:tcPr>
        <w:tcBorders>
          <w:bottom w:val="single" w:sz="4" w:space="0" w:color="00AAF0"/>
        </w:tcBorders>
        <w:shd w:val="clear" w:color="auto" w:fill="737373"/>
      </w:tcPr>
    </w:tblStylePr>
  </w:style>
  <w:style w:type="table" w:customStyle="1" w:styleId="TableGrid1">
    <w:name w:val="Table Grid1"/>
    <w:basedOn w:val="TableNormal"/>
    <w:next w:val="TableGrid"/>
    <w:uiPriority w:val="39"/>
    <w:rsid w:val="00141465"/>
    <w:pPr>
      <w:spacing w:line="240" w:lineRule="auto"/>
      <w:ind w:left="0" w:firstLine="0"/>
    </w:pPr>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4962">
      <w:bodyDiv w:val="1"/>
      <w:marLeft w:val="0"/>
      <w:marRight w:val="0"/>
      <w:marTop w:val="0"/>
      <w:marBottom w:val="0"/>
      <w:divBdr>
        <w:top w:val="none" w:sz="0" w:space="0" w:color="auto"/>
        <w:left w:val="none" w:sz="0" w:space="0" w:color="auto"/>
        <w:bottom w:val="none" w:sz="0" w:space="0" w:color="auto"/>
        <w:right w:val="none" w:sz="0" w:space="0" w:color="auto"/>
      </w:divBdr>
    </w:div>
    <w:div w:id="59980439">
      <w:bodyDiv w:val="1"/>
      <w:marLeft w:val="0"/>
      <w:marRight w:val="0"/>
      <w:marTop w:val="0"/>
      <w:marBottom w:val="0"/>
      <w:divBdr>
        <w:top w:val="none" w:sz="0" w:space="0" w:color="auto"/>
        <w:left w:val="none" w:sz="0" w:space="0" w:color="auto"/>
        <w:bottom w:val="none" w:sz="0" w:space="0" w:color="auto"/>
        <w:right w:val="none" w:sz="0" w:space="0" w:color="auto"/>
      </w:divBdr>
    </w:div>
    <w:div w:id="112602756">
      <w:bodyDiv w:val="1"/>
      <w:marLeft w:val="0"/>
      <w:marRight w:val="0"/>
      <w:marTop w:val="0"/>
      <w:marBottom w:val="0"/>
      <w:divBdr>
        <w:top w:val="none" w:sz="0" w:space="0" w:color="auto"/>
        <w:left w:val="none" w:sz="0" w:space="0" w:color="auto"/>
        <w:bottom w:val="none" w:sz="0" w:space="0" w:color="auto"/>
        <w:right w:val="none" w:sz="0" w:space="0" w:color="auto"/>
      </w:divBdr>
    </w:div>
    <w:div w:id="188110189">
      <w:bodyDiv w:val="1"/>
      <w:marLeft w:val="0"/>
      <w:marRight w:val="0"/>
      <w:marTop w:val="0"/>
      <w:marBottom w:val="0"/>
      <w:divBdr>
        <w:top w:val="none" w:sz="0" w:space="0" w:color="auto"/>
        <w:left w:val="none" w:sz="0" w:space="0" w:color="auto"/>
        <w:bottom w:val="none" w:sz="0" w:space="0" w:color="auto"/>
        <w:right w:val="none" w:sz="0" w:space="0" w:color="auto"/>
      </w:divBdr>
    </w:div>
    <w:div w:id="226262794">
      <w:bodyDiv w:val="1"/>
      <w:marLeft w:val="0"/>
      <w:marRight w:val="0"/>
      <w:marTop w:val="0"/>
      <w:marBottom w:val="0"/>
      <w:divBdr>
        <w:top w:val="none" w:sz="0" w:space="0" w:color="auto"/>
        <w:left w:val="none" w:sz="0" w:space="0" w:color="auto"/>
        <w:bottom w:val="none" w:sz="0" w:space="0" w:color="auto"/>
        <w:right w:val="none" w:sz="0" w:space="0" w:color="auto"/>
      </w:divBdr>
    </w:div>
    <w:div w:id="276647572">
      <w:bodyDiv w:val="1"/>
      <w:marLeft w:val="0"/>
      <w:marRight w:val="0"/>
      <w:marTop w:val="0"/>
      <w:marBottom w:val="0"/>
      <w:divBdr>
        <w:top w:val="none" w:sz="0" w:space="0" w:color="auto"/>
        <w:left w:val="none" w:sz="0" w:space="0" w:color="auto"/>
        <w:bottom w:val="none" w:sz="0" w:space="0" w:color="auto"/>
        <w:right w:val="none" w:sz="0" w:space="0" w:color="auto"/>
      </w:divBdr>
    </w:div>
    <w:div w:id="299924514">
      <w:bodyDiv w:val="1"/>
      <w:marLeft w:val="0"/>
      <w:marRight w:val="0"/>
      <w:marTop w:val="0"/>
      <w:marBottom w:val="0"/>
      <w:divBdr>
        <w:top w:val="none" w:sz="0" w:space="0" w:color="auto"/>
        <w:left w:val="none" w:sz="0" w:space="0" w:color="auto"/>
        <w:bottom w:val="none" w:sz="0" w:space="0" w:color="auto"/>
        <w:right w:val="none" w:sz="0" w:space="0" w:color="auto"/>
      </w:divBdr>
      <w:divsChild>
        <w:div w:id="373236966">
          <w:marLeft w:val="0"/>
          <w:marRight w:val="0"/>
          <w:marTop w:val="750"/>
          <w:marBottom w:val="150"/>
          <w:divBdr>
            <w:top w:val="none" w:sz="0" w:space="0" w:color="auto"/>
            <w:left w:val="none" w:sz="0" w:space="0" w:color="auto"/>
            <w:bottom w:val="none" w:sz="0" w:space="0" w:color="auto"/>
            <w:right w:val="none" w:sz="0" w:space="0" w:color="auto"/>
          </w:divBdr>
          <w:divsChild>
            <w:div w:id="1603076100">
              <w:marLeft w:val="0"/>
              <w:marRight w:val="0"/>
              <w:marTop w:val="0"/>
              <w:marBottom w:val="0"/>
              <w:divBdr>
                <w:top w:val="none" w:sz="0" w:space="0" w:color="auto"/>
                <w:left w:val="none" w:sz="0" w:space="0" w:color="auto"/>
                <w:bottom w:val="none" w:sz="0" w:space="0" w:color="auto"/>
                <w:right w:val="none" w:sz="0" w:space="0" w:color="auto"/>
              </w:divBdr>
              <w:divsChild>
                <w:div w:id="1839538117">
                  <w:marLeft w:val="0"/>
                  <w:marRight w:val="0"/>
                  <w:marTop w:val="0"/>
                  <w:marBottom w:val="0"/>
                  <w:divBdr>
                    <w:top w:val="none" w:sz="0" w:space="0" w:color="auto"/>
                    <w:left w:val="none" w:sz="0" w:space="0" w:color="auto"/>
                    <w:bottom w:val="none" w:sz="0" w:space="0" w:color="auto"/>
                    <w:right w:val="none" w:sz="0" w:space="0" w:color="auto"/>
                  </w:divBdr>
                  <w:divsChild>
                    <w:div w:id="1613171115">
                      <w:marLeft w:val="0"/>
                      <w:marRight w:val="0"/>
                      <w:marTop w:val="0"/>
                      <w:marBottom w:val="0"/>
                      <w:divBdr>
                        <w:top w:val="none" w:sz="0" w:space="0" w:color="auto"/>
                        <w:left w:val="none" w:sz="0" w:space="0" w:color="auto"/>
                        <w:bottom w:val="none" w:sz="0" w:space="0" w:color="auto"/>
                        <w:right w:val="none" w:sz="0" w:space="0" w:color="auto"/>
                      </w:divBdr>
                      <w:divsChild>
                        <w:div w:id="364211080">
                          <w:marLeft w:val="0"/>
                          <w:marRight w:val="0"/>
                          <w:marTop w:val="0"/>
                          <w:marBottom w:val="0"/>
                          <w:divBdr>
                            <w:top w:val="none" w:sz="0" w:space="0" w:color="auto"/>
                            <w:left w:val="none" w:sz="0" w:space="0" w:color="auto"/>
                            <w:bottom w:val="none" w:sz="0" w:space="0" w:color="auto"/>
                            <w:right w:val="none" w:sz="0" w:space="0" w:color="auto"/>
                          </w:divBdr>
                          <w:divsChild>
                            <w:div w:id="1531840623">
                              <w:marLeft w:val="0"/>
                              <w:marRight w:val="0"/>
                              <w:marTop w:val="0"/>
                              <w:marBottom w:val="0"/>
                              <w:divBdr>
                                <w:top w:val="none" w:sz="0" w:space="0" w:color="auto"/>
                                <w:left w:val="none" w:sz="0" w:space="0" w:color="auto"/>
                                <w:bottom w:val="none" w:sz="0" w:space="0" w:color="auto"/>
                                <w:right w:val="none" w:sz="0" w:space="0" w:color="auto"/>
                              </w:divBdr>
                              <w:divsChild>
                                <w:div w:id="1918437709">
                                  <w:marLeft w:val="0"/>
                                  <w:marRight w:val="0"/>
                                  <w:marTop w:val="0"/>
                                  <w:marBottom w:val="0"/>
                                  <w:divBdr>
                                    <w:top w:val="none" w:sz="0" w:space="0" w:color="auto"/>
                                    <w:left w:val="none" w:sz="0" w:space="0" w:color="auto"/>
                                    <w:bottom w:val="none" w:sz="0" w:space="0" w:color="auto"/>
                                    <w:right w:val="none" w:sz="0" w:space="0" w:color="auto"/>
                                  </w:divBdr>
                                  <w:divsChild>
                                    <w:div w:id="1369528052">
                                      <w:marLeft w:val="0"/>
                                      <w:marRight w:val="0"/>
                                      <w:marTop w:val="0"/>
                                      <w:marBottom w:val="0"/>
                                      <w:divBdr>
                                        <w:top w:val="none" w:sz="0" w:space="0" w:color="auto"/>
                                        <w:left w:val="none" w:sz="0" w:space="0" w:color="auto"/>
                                        <w:bottom w:val="none" w:sz="0" w:space="0" w:color="auto"/>
                                        <w:right w:val="none" w:sz="0" w:space="0" w:color="auto"/>
                                      </w:divBdr>
                                      <w:divsChild>
                                        <w:div w:id="39521332">
                                          <w:marLeft w:val="0"/>
                                          <w:marRight w:val="0"/>
                                          <w:marTop w:val="0"/>
                                          <w:marBottom w:val="0"/>
                                          <w:divBdr>
                                            <w:top w:val="none" w:sz="0" w:space="0" w:color="auto"/>
                                            <w:left w:val="none" w:sz="0" w:space="0" w:color="auto"/>
                                            <w:bottom w:val="none" w:sz="0" w:space="0" w:color="auto"/>
                                            <w:right w:val="none" w:sz="0" w:space="0" w:color="auto"/>
                                          </w:divBdr>
                                          <w:divsChild>
                                            <w:div w:id="1403408540">
                                              <w:marLeft w:val="0"/>
                                              <w:marRight w:val="0"/>
                                              <w:marTop w:val="0"/>
                                              <w:marBottom w:val="0"/>
                                              <w:divBdr>
                                                <w:top w:val="none" w:sz="0" w:space="0" w:color="auto"/>
                                                <w:left w:val="none" w:sz="0" w:space="0" w:color="auto"/>
                                                <w:bottom w:val="none" w:sz="0" w:space="0" w:color="auto"/>
                                                <w:right w:val="none" w:sz="0" w:space="0" w:color="auto"/>
                                              </w:divBdr>
                                              <w:divsChild>
                                                <w:div w:id="15294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65633">
                                          <w:marLeft w:val="0"/>
                                          <w:marRight w:val="0"/>
                                          <w:marTop w:val="0"/>
                                          <w:marBottom w:val="0"/>
                                          <w:divBdr>
                                            <w:top w:val="none" w:sz="0" w:space="0" w:color="auto"/>
                                            <w:left w:val="none" w:sz="0" w:space="0" w:color="auto"/>
                                            <w:bottom w:val="none" w:sz="0" w:space="0" w:color="auto"/>
                                            <w:right w:val="none" w:sz="0" w:space="0" w:color="auto"/>
                                          </w:divBdr>
                                          <w:divsChild>
                                            <w:div w:id="315306229">
                                              <w:marLeft w:val="0"/>
                                              <w:marRight w:val="0"/>
                                              <w:marTop w:val="0"/>
                                              <w:marBottom w:val="0"/>
                                              <w:divBdr>
                                                <w:top w:val="none" w:sz="0" w:space="0" w:color="auto"/>
                                                <w:left w:val="none" w:sz="0" w:space="0" w:color="auto"/>
                                                <w:bottom w:val="none" w:sz="0" w:space="0" w:color="auto"/>
                                                <w:right w:val="none" w:sz="0" w:space="0" w:color="auto"/>
                                              </w:divBdr>
                                              <w:divsChild>
                                                <w:div w:id="666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7405">
                                          <w:marLeft w:val="0"/>
                                          <w:marRight w:val="0"/>
                                          <w:marTop w:val="0"/>
                                          <w:marBottom w:val="0"/>
                                          <w:divBdr>
                                            <w:top w:val="none" w:sz="0" w:space="0" w:color="auto"/>
                                            <w:left w:val="none" w:sz="0" w:space="0" w:color="auto"/>
                                            <w:bottom w:val="none" w:sz="0" w:space="0" w:color="auto"/>
                                            <w:right w:val="none" w:sz="0" w:space="0" w:color="auto"/>
                                          </w:divBdr>
                                          <w:divsChild>
                                            <w:div w:id="1827237619">
                                              <w:marLeft w:val="0"/>
                                              <w:marRight w:val="0"/>
                                              <w:marTop w:val="0"/>
                                              <w:marBottom w:val="0"/>
                                              <w:divBdr>
                                                <w:top w:val="none" w:sz="0" w:space="0" w:color="auto"/>
                                                <w:left w:val="none" w:sz="0" w:space="0" w:color="auto"/>
                                                <w:bottom w:val="none" w:sz="0" w:space="0" w:color="auto"/>
                                                <w:right w:val="none" w:sz="0" w:space="0" w:color="auto"/>
                                              </w:divBdr>
                                              <w:divsChild>
                                                <w:div w:id="4586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166774">
      <w:bodyDiv w:val="1"/>
      <w:marLeft w:val="0"/>
      <w:marRight w:val="0"/>
      <w:marTop w:val="0"/>
      <w:marBottom w:val="0"/>
      <w:divBdr>
        <w:top w:val="none" w:sz="0" w:space="0" w:color="auto"/>
        <w:left w:val="none" w:sz="0" w:space="0" w:color="auto"/>
        <w:bottom w:val="none" w:sz="0" w:space="0" w:color="auto"/>
        <w:right w:val="none" w:sz="0" w:space="0" w:color="auto"/>
      </w:divBdr>
    </w:div>
    <w:div w:id="417793108">
      <w:bodyDiv w:val="1"/>
      <w:marLeft w:val="0"/>
      <w:marRight w:val="0"/>
      <w:marTop w:val="0"/>
      <w:marBottom w:val="0"/>
      <w:divBdr>
        <w:top w:val="none" w:sz="0" w:space="0" w:color="auto"/>
        <w:left w:val="none" w:sz="0" w:space="0" w:color="auto"/>
        <w:bottom w:val="none" w:sz="0" w:space="0" w:color="auto"/>
        <w:right w:val="none" w:sz="0" w:space="0" w:color="auto"/>
      </w:divBdr>
    </w:div>
    <w:div w:id="423844847">
      <w:bodyDiv w:val="1"/>
      <w:marLeft w:val="0"/>
      <w:marRight w:val="0"/>
      <w:marTop w:val="0"/>
      <w:marBottom w:val="0"/>
      <w:divBdr>
        <w:top w:val="none" w:sz="0" w:space="0" w:color="auto"/>
        <w:left w:val="none" w:sz="0" w:space="0" w:color="auto"/>
        <w:bottom w:val="none" w:sz="0" w:space="0" w:color="auto"/>
        <w:right w:val="none" w:sz="0" w:space="0" w:color="auto"/>
      </w:divBdr>
      <w:divsChild>
        <w:div w:id="1203327049">
          <w:marLeft w:val="0"/>
          <w:marRight w:val="0"/>
          <w:marTop w:val="750"/>
          <w:marBottom w:val="150"/>
          <w:divBdr>
            <w:top w:val="none" w:sz="0" w:space="0" w:color="auto"/>
            <w:left w:val="none" w:sz="0" w:space="0" w:color="auto"/>
            <w:bottom w:val="none" w:sz="0" w:space="0" w:color="auto"/>
            <w:right w:val="none" w:sz="0" w:space="0" w:color="auto"/>
          </w:divBdr>
          <w:divsChild>
            <w:div w:id="2111006542">
              <w:marLeft w:val="0"/>
              <w:marRight w:val="0"/>
              <w:marTop w:val="0"/>
              <w:marBottom w:val="0"/>
              <w:divBdr>
                <w:top w:val="none" w:sz="0" w:space="0" w:color="auto"/>
                <w:left w:val="none" w:sz="0" w:space="0" w:color="auto"/>
                <w:bottom w:val="none" w:sz="0" w:space="0" w:color="auto"/>
                <w:right w:val="none" w:sz="0" w:space="0" w:color="auto"/>
              </w:divBdr>
              <w:divsChild>
                <w:div w:id="796067520">
                  <w:marLeft w:val="0"/>
                  <w:marRight w:val="0"/>
                  <w:marTop w:val="0"/>
                  <w:marBottom w:val="0"/>
                  <w:divBdr>
                    <w:top w:val="none" w:sz="0" w:space="0" w:color="auto"/>
                    <w:left w:val="none" w:sz="0" w:space="0" w:color="auto"/>
                    <w:bottom w:val="none" w:sz="0" w:space="0" w:color="auto"/>
                    <w:right w:val="none" w:sz="0" w:space="0" w:color="auto"/>
                  </w:divBdr>
                  <w:divsChild>
                    <w:div w:id="1968701534">
                      <w:marLeft w:val="0"/>
                      <w:marRight w:val="0"/>
                      <w:marTop w:val="0"/>
                      <w:marBottom w:val="0"/>
                      <w:divBdr>
                        <w:top w:val="none" w:sz="0" w:space="0" w:color="auto"/>
                        <w:left w:val="none" w:sz="0" w:space="0" w:color="auto"/>
                        <w:bottom w:val="none" w:sz="0" w:space="0" w:color="auto"/>
                        <w:right w:val="none" w:sz="0" w:space="0" w:color="auto"/>
                      </w:divBdr>
                      <w:divsChild>
                        <w:div w:id="869730194">
                          <w:marLeft w:val="0"/>
                          <w:marRight w:val="0"/>
                          <w:marTop w:val="0"/>
                          <w:marBottom w:val="0"/>
                          <w:divBdr>
                            <w:top w:val="none" w:sz="0" w:space="0" w:color="auto"/>
                            <w:left w:val="none" w:sz="0" w:space="0" w:color="auto"/>
                            <w:bottom w:val="none" w:sz="0" w:space="0" w:color="auto"/>
                            <w:right w:val="none" w:sz="0" w:space="0" w:color="auto"/>
                          </w:divBdr>
                          <w:divsChild>
                            <w:div w:id="990254480">
                              <w:marLeft w:val="0"/>
                              <w:marRight w:val="0"/>
                              <w:marTop w:val="0"/>
                              <w:marBottom w:val="0"/>
                              <w:divBdr>
                                <w:top w:val="none" w:sz="0" w:space="0" w:color="auto"/>
                                <w:left w:val="none" w:sz="0" w:space="0" w:color="auto"/>
                                <w:bottom w:val="none" w:sz="0" w:space="0" w:color="auto"/>
                                <w:right w:val="none" w:sz="0" w:space="0" w:color="auto"/>
                              </w:divBdr>
                              <w:divsChild>
                                <w:div w:id="912279919">
                                  <w:marLeft w:val="0"/>
                                  <w:marRight w:val="0"/>
                                  <w:marTop w:val="0"/>
                                  <w:marBottom w:val="0"/>
                                  <w:divBdr>
                                    <w:top w:val="none" w:sz="0" w:space="0" w:color="auto"/>
                                    <w:left w:val="none" w:sz="0" w:space="0" w:color="auto"/>
                                    <w:bottom w:val="none" w:sz="0" w:space="0" w:color="auto"/>
                                    <w:right w:val="none" w:sz="0" w:space="0" w:color="auto"/>
                                  </w:divBdr>
                                  <w:divsChild>
                                    <w:div w:id="1359551828">
                                      <w:marLeft w:val="0"/>
                                      <w:marRight w:val="0"/>
                                      <w:marTop w:val="0"/>
                                      <w:marBottom w:val="0"/>
                                      <w:divBdr>
                                        <w:top w:val="none" w:sz="0" w:space="0" w:color="auto"/>
                                        <w:left w:val="none" w:sz="0" w:space="0" w:color="auto"/>
                                        <w:bottom w:val="none" w:sz="0" w:space="0" w:color="auto"/>
                                        <w:right w:val="none" w:sz="0" w:space="0" w:color="auto"/>
                                      </w:divBdr>
                                      <w:divsChild>
                                        <w:div w:id="900284456">
                                          <w:marLeft w:val="0"/>
                                          <w:marRight w:val="0"/>
                                          <w:marTop w:val="0"/>
                                          <w:marBottom w:val="0"/>
                                          <w:divBdr>
                                            <w:top w:val="none" w:sz="0" w:space="0" w:color="auto"/>
                                            <w:left w:val="none" w:sz="0" w:space="0" w:color="auto"/>
                                            <w:bottom w:val="none" w:sz="0" w:space="0" w:color="auto"/>
                                            <w:right w:val="none" w:sz="0" w:space="0" w:color="auto"/>
                                          </w:divBdr>
                                          <w:divsChild>
                                            <w:div w:id="797601772">
                                              <w:marLeft w:val="0"/>
                                              <w:marRight w:val="0"/>
                                              <w:marTop w:val="0"/>
                                              <w:marBottom w:val="0"/>
                                              <w:divBdr>
                                                <w:top w:val="none" w:sz="0" w:space="0" w:color="auto"/>
                                                <w:left w:val="none" w:sz="0" w:space="0" w:color="auto"/>
                                                <w:bottom w:val="none" w:sz="0" w:space="0" w:color="auto"/>
                                                <w:right w:val="none" w:sz="0" w:space="0" w:color="auto"/>
                                              </w:divBdr>
                                              <w:divsChild>
                                                <w:div w:id="623463544">
                                                  <w:marLeft w:val="0"/>
                                                  <w:marRight w:val="0"/>
                                                  <w:marTop w:val="0"/>
                                                  <w:marBottom w:val="0"/>
                                                  <w:divBdr>
                                                    <w:top w:val="none" w:sz="0" w:space="0" w:color="auto"/>
                                                    <w:left w:val="none" w:sz="0" w:space="0" w:color="auto"/>
                                                    <w:bottom w:val="none" w:sz="0" w:space="0" w:color="auto"/>
                                                    <w:right w:val="none" w:sz="0" w:space="0" w:color="auto"/>
                                                  </w:divBdr>
                                                  <w:divsChild>
                                                    <w:div w:id="1912502442">
                                                      <w:marLeft w:val="0"/>
                                                      <w:marRight w:val="0"/>
                                                      <w:marTop w:val="0"/>
                                                      <w:marBottom w:val="0"/>
                                                      <w:divBdr>
                                                        <w:top w:val="none" w:sz="0" w:space="0" w:color="auto"/>
                                                        <w:left w:val="none" w:sz="0" w:space="0" w:color="auto"/>
                                                        <w:bottom w:val="none" w:sz="0" w:space="0" w:color="auto"/>
                                                        <w:right w:val="none" w:sz="0" w:space="0" w:color="auto"/>
                                                      </w:divBdr>
                                                      <w:divsChild>
                                                        <w:div w:id="15741525">
                                                          <w:marLeft w:val="0"/>
                                                          <w:marRight w:val="0"/>
                                                          <w:marTop w:val="0"/>
                                                          <w:marBottom w:val="0"/>
                                                          <w:divBdr>
                                                            <w:top w:val="none" w:sz="0" w:space="0" w:color="auto"/>
                                                            <w:left w:val="none" w:sz="0" w:space="0" w:color="auto"/>
                                                            <w:bottom w:val="none" w:sz="0" w:space="0" w:color="auto"/>
                                                            <w:right w:val="none" w:sz="0" w:space="0" w:color="auto"/>
                                                          </w:divBdr>
                                                        </w:div>
                                                      </w:divsChild>
                                                    </w:div>
                                                    <w:div w:id="1299872064">
                                                      <w:marLeft w:val="0"/>
                                                      <w:marRight w:val="0"/>
                                                      <w:marTop w:val="0"/>
                                                      <w:marBottom w:val="0"/>
                                                      <w:divBdr>
                                                        <w:top w:val="none" w:sz="0" w:space="0" w:color="auto"/>
                                                        <w:left w:val="none" w:sz="0" w:space="0" w:color="auto"/>
                                                        <w:bottom w:val="none" w:sz="0" w:space="0" w:color="auto"/>
                                                        <w:right w:val="none" w:sz="0" w:space="0" w:color="auto"/>
                                                      </w:divBdr>
                                                      <w:divsChild>
                                                        <w:div w:id="799344342">
                                                          <w:marLeft w:val="0"/>
                                                          <w:marRight w:val="0"/>
                                                          <w:marTop w:val="0"/>
                                                          <w:marBottom w:val="0"/>
                                                          <w:divBdr>
                                                            <w:top w:val="none" w:sz="0" w:space="0" w:color="auto"/>
                                                            <w:left w:val="none" w:sz="0" w:space="0" w:color="auto"/>
                                                            <w:bottom w:val="none" w:sz="0" w:space="0" w:color="auto"/>
                                                            <w:right w:val="none" w:sz="0" w:space="0" w:color="auto"/>
                                                          </w:divBdr>
                                                        </w:div>
                                                      </w:divsChild>
                                                    </w:div>
                                                    <w:div w:id="2135100718">
                                                      <w:marLeft w:val="0"/>
                                                      <w:marRight w:val="0"/>
                                                      <w:marTop w:val="0"/>
                                                      <w:marBottom w:val="0"/>
                                                      <w:divBdr>
                                                        <w:top w:val="none" w:sz="0" w:space="0" w:color="auto"/>
                                                        <w:left w:val="none" w:sz="0" w:space="0" w:color="auto"/>
                                                        <w:bottom w:val="none" w:sz="0" w:space="0" w:color="auto"/>
                                                        <w:right w:val="none" w:sz="0" w:space="0" w:color="auto"/>
                                                      </w:divBdr>
                                                      <w:divsChild>
                                                        <w:div w:id="1680152828">
                                                          <w:marLeft w:val="0"/>
                                                          <w:marRight w:val="0"/>
                                                          <w:marTop w:val="0"/>
                                                          <w:marBottom w:val="0"/>
                                                          <w:divBdr>
                                                            <w:top w:val="none" w:sz="0" w:space="0" w:color="auto"/>
                                                            <w:left w:val="none" w:sz="0" w:space="0" w:color="auto"/>
                                                            <w:bottom w:val="none" w:sz="0" w:space="0" w:color="auto"/>
                                                            <w:right w:val="none" w:sz="0" w:space="0" w:color="auto"/>
                                                          </w:divBdr>
                                                          <w:divsChild>
                                                            <w:div w:id="12106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2165912">
      <w:bodyDiv w:val="1"/>
      <w:marLeft w:val="0"/>
      <w:marRight w:val="0"/>
      <w:marTop w:val="0"/>
      <w:marBottom w:val="0"/>
      <w:divBdr>
        <w:top w:val="none" w:sz="0" w:space="0" w:color="auto"/>
        <w:left w:val="none" w:sz="0" w:space="0" w:color="auto"/>
        <w:bottom w:val="none" w:sz="0" w:space="0" w:color="auto"/>
        <w:right w:val="none" w:sz="0" w:space="0" w:color="auto"/>
      </w:divBdr>
    </w:div>
    <w:div w:id="498277444">
      <w:bodyDiv w:val="1"/>
      <w:marLeft w:val="0"/>
      <w:marRight w:val="0"/>
      <w:marTop w:val="0"/>
      <w:marBottom w:val="0"/>
      <w:divBdr>
        <w:top w:val="none" w:sz="0" w:space="0" w:color="auto"/>
        <w:left w:val="none" w:sz="0" w:space="0" w:color="auto"/>
        <w:bottom w:val="none" w:sz="0" w:space="0" w:color="auto"/>
        <w:right w:val="none" w:sz="0" w:space="0" w:color="auto"/>
      </w:divBdr>
    </w:div>
    <w:div w:id="748425220">
      <w:bodyDiv w:val="1"/>
      <w:marLeft w:val="0"/>
      <w:marRight w:val="0"/>
      <w:marTop w:val="0"/>
      <w:marBottom w:val="0"/>
      <w:divBdr>
        <w:top w:val="none" w:sz="0" w:space="0" w:color="auto"/>
        <w:left w:val="none" w:sz="0" w:space="0" w:color="auto"/>
        <w:bottom w:val="none" w:sz="0" w:space="0" w:color="auto"/>
        <w:right w:val="none" w:sz="0" w:space="0" w:color="auto"/>
      </w:divBdr>
    </w:div>
    <w:div w:id="789126646">
      <w:bodyDiv w:val="1"/>
      <w:marLeft w:val="0"/>
      <w:marRight w:val="0"/>
      <w:marTop w:val="0"/>
      <w:marBottom w:val="0"/>
      <w:divBdr>
        <w:top w:val="none" w:sz="0" w:space="0" w:color="auto"/>
        <w:left w:val="none" w:sz="0" w:space="0" w:color="auto"/>
        <w:bottom w:val="none" w:sz="0" w:space="0" w:color="auto"/>
        <w:right w:val="none" w:sz="0" w:space="0" w:color="auto"/>
      </w:divBdr>
    </w:div>
    <w:div w:id="827860977">
      <w:bodyDiv w:val="1"/>
      <w:marLeft w:val="0"/>
      <w:marRight w:val="0"/>
      <w:marTop w:val="0"/>
      <w:marBottom w:val="0"/>
      <w:divBdr>
        <w:top w:val="none" w:sz="0" w:space="0" w:color="auto"/>
        <w:left w:val="none" w:sz="0" w:space="0" w:color="auto"/>
        <w:bottom w:val="none" w:sz="0" w:space="0" w:color="auto"/>
        <w:right w:val="none" w:sz="0" w:space="0" w:color="auto"/>
      </w:divBdr>
    </w:div>
    <w:div w:id="834955095">
      <w:bodyDiv w:val="1"/>
      <w:marLeft w:val="0"/>
      <w:marRight w:val="0"/>
      <w:marTop w:val="0"/>
      <w:marBottom w:val="0"/>
      <w:divBdr>
        <w:top w:val="none" w:sz="0" w:space="0" w:color="auto"/>
        <w:left w:val="none" w:sz="0" w:space="0" w:color="auto"/>
        <w:bottom w:val="none" w:sz="0" w:space="0" w:color="auto"/>
        <w:right w:val="none" w:sz="0" w:space="0" w:color="auto"/>
      </w:divBdr>
    </w:div>
    <w:div w:id="901253695">
      <w:bodyDiv w:val="1"/>
      <w:marLeft w:val="0"/>
      <w:marRight w:val="0"/>
      <w:marTop w:val="0"/>
      <w:marBottom w:val="0"/>
      <w:divBdr>
        <w:top w:val="none" w:sz="0" w:space="0" w:color="auto"/>
        <w:left w:val="none" w:sz="0" w:space="0" w:color="auto"/>
        <w:bottom w:val="none" w:sz="0" w:space="0" w:color="auto"/>
        <w:right w:val="none" w:sz="0" w:space="0" w:color="auto"/>
      </w:divBdr>
    </w:div>
    <w:div w:id="907106671">
      <w:bodyDiv w:val="1"/>
      <w:marLeft w:val="0"/>
      <w:marRight w:val="0"/>
      <w:marTop w:val="0"/>
      <w:marBottom w:val="0"/>
      <w:divBdr>
        <w:top w:val="none" w:sz="0" w:space="0" w:color="auto"/>
        <w:left w:val="none" w:sz="0" w:space="0" w:color="auto"/>
        <w:bottom w:val="none" w:sz="0" w:space="0" w:color="auto"/>
        <w:right w:val="none" w:sz="0" w:space="0" w:color="auto"/>
      </w:divBdr>
    </w:div>
    <w:div w:id="1018894142">
      <w:bodyDiv w:val="1"/>
      <w:marLeft w:val="0"/>
      <w:marRight w:val="0"/>
      <w:marTop w:val="0"/>
      <w:marBottom w:val="0"/>
      <w:divBdr>
        <w:top w:val="none" w:sz="0" w:space="0" w:color="auto"/>
        <w:left w:val="none" w:sz="0" w:space="0" w:color="auto"/>
        <w:bottom w:val="none" w:sz="0" w:space="0" w:color="auto"/>
        <w:right w:val="none" w:sz="0" w:space="0" w:color="auto"/>
      </w:divBdr>
      <w:divsChild>
        <w:div w:id="1223523685">
          <w:marLeft w:val="0"/>
          <w:marRight w:val="0"/>
          <w:marTop w:val="0"/>
          <w:marBottom w:val="0"/>
          <w:divBdr>
            <w:top w:val="none" w:sz="0" w:space="0" w:color="auto"/>
            <w:left w:val="none" w:sz="0" w:space="0" w:color="auto"/>
            <w:bottom w:val="none" w:sz="0" w:space="0" w:color="auto"/>
            <w:right w:val="none" w:sz="0" w:space="0" w:color="auto"/>
          </w:divBdr>
          <w:divsChild>
            <w:div w:id="765806926">
              <w:marLeft w:val="0"/>
              <w:marRight w:val="0"/>
              <w:marTop w:val="0"/>
              <w:marBottom w:val="0"/>
              <w:divBdr>
                <w:top w:val="none" w:sz="0" w:space="0" w:color="auto"/>
                <w:left w:val="none" w:sz="0" w:space="0" w:color="auto"/>
                <w:bottom w:val="none" w:sz="0" w:space="0" w:color="auto"/>
                <w:right w:val="none" w:sz="0" w:space="0" w:color="auto"/>
              </w:divBdr>
              <w:divsChild>
                <w:div w:id="1004161490">
                  <w:marLeft w:val="0"/>
                  <w:marRight w:val="0"/>
                  <w:marTop w:val="0"/>
                  <w:marBottom w:val="0"/>
                  <w:divBdr>
                    <w:top w:val="none" w:sz="0" w:space="0" w:color="auto"/>
                    <w:left w:val="none" w:sz="0" w:space="0" w:color="auto"/>
                    <w:bottom w:val="none" w:sz="0" w:space="0" w:color="auto"/>
                    <w:right w:val="none" w:sz="0" w:space="0" w:color="auto"/>
                  </w:divBdr>
                  <w:divsChild>
                    <w:div w:id="1174880142">
                      <w:marLeft w:val="0"/>
                      <w:marRight w:val="0"/>
                      <w:marTop w:val="0"/>
                      <w:marBottom w:val="0"/>
                      <w:divBdr>
                        <w:top w:val="none" w:sz="0" w:space="0" w:color="auto"/>
                        <w:left w:val="none" w:sz="0" w:space="0" w:color="auto"/>
                        <w:bottom w:val="none" w:sz="0" w:space="0" w:color="auto"/>
                        <w:right w:val="none" w:sz="0" w:space="0" w:color="auto"/>
                      </w:divBdr>
                      <w:divsChild>
                        <w:div w:id="1662268451">
                          <w:marLeft w:val="0"/>
                          <w:marRight w:val="0"/>
                          <w:marTop w:val="0"/>
                          <w:marBottom w:val="0"/>
                          <w:divBdr>
                            <w:top w:val="none" w:sz="0" w:space="0" w:color="auto"/>
                            <w:left w:val="none" w:sz="0" w:space="0" w:color="auto"/>
                            <w:bottom w:val="none" w:sz="0" w:space="0" w:color="auto"/>
                            <w:right w:val="none" w:sz="0" w:space="0" w:color="auto"/>
                          </w:divBdr>
                          <w:divsChild>
                            <w:div w:id="210658293">
                              <w:marLeft w:val="0"/>
                              <w:marRight w:val="0"/>
                              <w:marTop w:val="0"/>
                              <w:marBottom w:val="0"/>
                              <w:divBdr>
                                <w:top w:val="none" w:sz="0" w:space="0" w:color="auto"/>
                                <w:left w:val="none" w:sz="0" w:space="0" w:color="auto"/>
                                <w:bottom w:val="none" w:sz="0" w:space="0" w:color="auto"/>
                                <w:right w:val="none" w:sz="0" w:space="0" w:color="auto"/>
                              </w:divBdr>
                              <w:divsChild>
                                <w:div w:id="1859392820">
                                  <w:marLeft w:val="0"/>
                                  <w:marRight w:val="0"/>
                                  <w:marTop w:val="0"/>
                                  <w:marBottom w:val="0"/>
                                  <w:divBdr>
                                    <w:top w:val="none" w:sz="0" w:space="0" w:color="auto"/>
                                    <w:left w:val="none" w:sz="0" w:space="0" w:color="auto"/>
                                    <w:bottom w:val="none" w:sz="0" w:space="0" w:color="auto"/>
                                    <w:right w:val="none" w:sz="0" w:space="0" w:color="auto"/>
                                  </w:divBdr>
                                  <w:divsChild>
                                    <w:div w:id="560406440">
                                      <w:marLeft w:val="0"/>
                                      <w:marRight w:val="0"/>
                                      <w:marTop w:val="0"/>
                                      <w:marBottom w:val="0"/>
                                      <w:divBdr>
                                        <w:top w:val="none" w:sz="0" w:space="0" w:color="auto"/>
                                        <w:left w:val="none" w:sz="0" w:space="0" w:color="auto"/>
                                        <w:bottom w:val="none" w:sz="0" w:space="0" w:color="auto"/>
                                        <w:right w:val="none" w:sz="0" w:space="0" w:color="auto"/>
                                      </w:divBdr>
                                      <w:divsChild>
                                        <w:div w:id="1540706480">
                                          <w:marLeft w:val="0"/>
                                          <w:marRight w:val="0"/>
                                          <w:marTop w:val="0"/>
                                          <w:marBottom w:val="0"/>
                                          <w:divBdr>
                                            <w:top w:val="none" w:sz="0" w:space="0" w:color="auto"/>
                                            <w:left w:val="none" w:sz="0" w:space="0" w:color="auto"/>
                                            <w:bottom w:val="none" w:sz="0" w:space="0" w:color="auto"/>
                                            <w:right w:val="none" w:sz="0" w:space="0" w:color="auto"/>
                                          </w:divBdr>
                                          <w:divsChild>
                                            <w:div w:id="13235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949988">
      <w:bodyDiv w:val="1"/>
      <w:marLeft w:val="0"/>
      <w:marRight w:val="0"/>
      <w:marTop w:val="0"/>
      <w:marBottom w:val="0"/>
      <w:divBdr>
        <w:top w:val="none" w:sz="0" w:space="0" w:color="auto"/>
        <w:left w:val="none" w:sz="0" w:space="0" w:color="auto"/>
        <w:bottom w:val="none" w:sz="0" w:space="0" w:color="auto"/>
        <w:right w:val="none" w:sz="0" w:space="0" w:color="auto"/>
      </w:divBdr>
    </w:div>
    <w:div w:id="1228883044">
      <w:bodyDiv w:val="1"/>
      <w:marLeft w:val="0"/>
      <w:marRight w:val="0"/>
      <w:marTop w:val="0"/>
      <w:marBottom w:val="0"/>
      <w:divBdr>
        <w:top w:val="none" w:sz="0" w:space="0" w:color="auto"/>
        <w:left w:val="none" w:sz="0" w:space="0" w:color="auto"/>
        <w:bottom w:val="none" w:sz="0" w:space="0" w:color="auto"/>
        <w:right w:val="none" w:sz="0" w:space="0" w:color="auto"/>
      </w:divBdr>
    </w:div>
    <w:div w:id="1236744766">
      <w:bodyDiv w:val="1"/>
      <w:marLeft w:val="0"/>
      <w:marRight w:val="0"/>
      <w:marTop w:val="0"/>
      <w:marBottom w:val="0"/>
      <w:divBdr>
        <w:top w:val="none" w:sz="0" w:space="0" w:color="auto"/>
        <w:left w:val="none" w:sz="0" w:space="0" w:color="auto"/>
        <w:bottom w:val="none" w:sz="0" w:space="0" w:color="auto"/>
        <w:right w:val="none" w:sz="0" w:space="0" w:color="auto"/>
      </w:divBdr>
    </w:div>
    <w:div w:id="1373574399">
      <w:bodyDiv w:val="1"/>
      <w:marLeft w:val="0"/>
      <w:marRight w:val="0"/>
      <w:marTop w:val="0"/>
      <w:marBottom w:val="0"/>
      <w:divBdr>
        <w:top w:val="none" w:sz="0" w:space="0" w:color="auto"/>
        <w:left w:val="none" w:sz="0" w:space="0" w:color="auto"/>
        <w:bottom w:val="none" w:sz="0" w:space="0" w:color="auto"/>
        <w:right w:val="none" w:sz="0" w:space="0" w:color="auto"/>
      </w:divBdr>
    </w:div>
    <w:div w:id="1382442203">
      <w:bodyDiv w:val="1"/>
      <w:marLeft w:val="0"/>
      <w:marRight w:val="0"/>
      <w:marTop w:val="0"/>
      <w:marBottom w:val="0"/>
      <w:divBdr>
        <w:top w:val="none" w:sz="0" w:space="0" w:color="auto"/>
        <w:left w:val="none" w:sz="0" w:space="0" w:color="auto"/>
        <w:bottom w:val="none" w:sz="0" w:space="0" w:color="auto"/>
        <w:right w:val="none" w:sz="0" w:space="0" w:color="auto"/>
      </w:divBdr>
    </w:div>
    <w:div w:id="1389839173">
      <w:bodyDiv w:val="1"/>
      <w:marLeft w:val="0"/>
      <w:marRight w:val="0"/>
      <w:marTop w:val="0"/>
      <w:marBottom w:val="0"/>
      <w:divBdr>
        <w:top w:val="none" w:sz="0" w:space="0" w:color="auto"/>
        <w:left w:val="none" w:sz="0" w:space="0" w:color="auto"/>
        <w:bottom w:val="none" w:sz="0" w:space="0" w:color="auto"/>
        <w:right w:val="none" w:sz="0" w:space="0" w:color="auto"/>
      </w:divBdr>
    </w:div>
    <w:div w:id="1521552540">
      <w:bodyDiv w:val="1"/>
      <w:marLeft w:val="0"/>
      <w:marRight w:val="0"/>
      <w:marTop w:val="0"/>
      <w:marBottom w:val="0"/>
      <w:divBdr>
        <w:top w:val="none" w:sz="0" w:space="0" w:color="auto"/>
        <w:left w:val="none" w:sz="0" w:space="0" w:color="auto"/>
        <w:bottom w:val="none" w:sz="0" w:space="0" w:color="auto"/>
        <w:right w:val="none" w:sz="0" w:space="0" w:color="auto"/>
      </w:divBdr>
    </w:div>
    <w:div w:id="1552958111">
      <w:bodyDiv w:val="1"/>
      <w:marLeft w:val="0"/>
      <w:marRight w:val="0"/>
      <w:marTop w:val="0"/>
      <w:marBottom w:val="0"/>
      <w:divBdr>
        <w:top w:val="none" w:sz="0" w:space="0" w:color="auto"/>
        <w:left w:val="none" w:sz="0" w:space="0" w:color="auto"/>
        <w:bottom w:val="none" w:sz="0" w:space="0" w:color="auto"/>
        <w:right w:val="none" w:sz="0" w:space="0" w:color="auto"/>
      </w:divBdr>
    </w:div>
    <w:div w:id="1670711283">
      <w:bodyDiv w:val="1"/>
      <w:marLeft w:val="0"/>
      <w:marRight w:val="0"/>
      <w:marTop w:val="0"/>
      <w:marBottom w:val="0"/>
      <w:divBdr>
        <w:top w:val="none" w:sz="0" w:space="0" w:color="auto"/>
        <w:left w:val="none" w:sz="0" w:space="0" w:color="auto"/>
        <w:bottom w:val="none" w:sz="0" w:space="0" w:color="auto"/>
        <w:right w:val="none" w:sz="0" w:space="0" w:color="auto"/>
      </w:divBdr>
    </w:div>
    <w:div w:id="1682464376">
      <w:bodyDiv w:val="1"/>
      <w:marLeft w:val="0"/>
      <w:marRight w:val="0"/>
      <w:marTop w:val="0"/>
      <w:marBottom w:val="0"/>
      <w:divBdr>
        <w:top w:val="none" w:sz="0" w:space="0" w:color="auto"/>
        <w:left w:val="none" w:sz="0" w:space="0" w:color="auto"/>
        <w:bottom w:val="none" w:sz="0" w:space="0" w:color="auto"/>
        <w:right w:val="none" w:sz="0" w:space="0" w:color="auto"/>
      </w:divBdr>
    </w:div>
    <w:div w:id="1720324629">
      <w:bodyDiv w:val="1"/>
      <w:marLeft w:val="0"/>
      <w:marRight w:val="0"/>
      <w:marTop w:val="0"/>
      <w:marBottom w:val="0"/>
      <w:divBdr>
        <w:top w:val="none" w:sz="0" w:space="0" w:color="auto"/>
        <w:left w:val="none" w:sz="0" w:space="0" w:color="auto"/>
        <w:bottom w:val="none" w:sz="0" w:space="0" w:color="auto"/>
        <w:right w:val="none" w:sz="0" w:space="0" w:color="auto"/>
      </w:divBdr>
      <w:divsChild>
        <w:div w:id="1682583731">
          <w:marLeft w:val="0"/>
          <w:marRight w:val="0"/>
          <w:marTop w:val="0"/>
          <w:marBottom w:val="0"/>
          <w:divBdr>
            <w:top w:val="none" w:sz="0" w:space="0" w:color="auto"/>
            <w:left w:val="none" w:sz="0" w:space="0" w:color="auto"/>
            <w:bottom w:val="none" w:sz="0" w:space="0" w:color="auto"/>
            <w:right w:val="none" w:sz="0" w:space="0" w:color="auto"/>
          </w:divBdr>
          <w:divsChild>
            <w:div w:id="1560020775">
              <w:marLeft w:val="0"/>
              <w:marRight w:val="0"/>
              <w:marTop w:val="465"/>
              <w:marBottom w:val="0"/>
              <w:divBdr>
                <w:top w:val="none" w:sz="0" w:space="0" w:color="auto"/>
                <w:left w:val="none" w:sz="0" w:space="0" w:color="auto"/>
                <w:bottom w:val="none" w:sz="0" w:space="0" w:color="auto"/>
                <w:right w:val="none" w:sz="0" w:space="0" w:color="auto"/>
              </w:divBdr>
              <w:divsChild>
                <w:div w:id="1744568986">
                  <w:marLeft w:val="0"/>
                  <w:marRight w:val="0"/>
                  <w:marTop w:val="0"/>
                  <w:marBottom w:val="0"/>
                  <w:divBdr>
                    <w:top w:val="none" w:sz="0" w:space="0" w:color="auto"/>
                    <w:left w:val="none" w:sz="0" w:space="0" w:color="auto"/>
                    <w:bottom w:val="none" w:sz="0" w:space="0" w:color="auto"/>
                    <w:right w:val="none" w:sz="0" w:space="0" w:color="auto"/>
                  </w:divBdr>
                  <w:divsChild>
                    <w:div w:id="417677689">
                      <w:marLeft w:val="0"/>
                      <w:marRight w:val="0"/>
                      <w:marTop w:val="0"/>
                      <w:marBottom w:val="0"/>
                      <w:divBdr>
                        <w:top w:val="none" w:sz="0" w:space="0" w:color="auto"/>
                        <w:left w:val="none" w:sz="0" w:space="0" w:color="auto"/>
                        <w:bottom w:val="none" w:sz="0" w:space="0" w:color="auto"/>
                        <w:right w:val="none" w:sz="0" w:space="0" w:color="auto"/>
                      </w:divBdr>
                      <w:divsChild>
                        <w:div w:id="2096244833">
                          <w:marLeft w:val="0"/>
                          <w:marRight w:val="0"/>
                          <w:marTop w:val="0"/>
                          <w:marBottom w:val="0"/>
                          <w:divBdr>
                            <w:top w:val="none" w:sz="0" w:space="0" w:color="auto"/>
                            <w:left w:val="none" w:sz="0" w:space="0" w:color="auto"/>
                            <w:bottom w:val="none" w:sz="0" w:space="0" w:color="auto"/>
                            <w:right w:val="none" w:sz="0" w:space="0" w:color="auto"/>
                          </w:divBdr>
                          <w:divsChild>
                            <w:div w:id="1778015612">
                              <w:marLeft w:val="0"/>
                              <w:marRight w:val="0"/>
                              <w:marTop w:val="0"/>
                              <w:marBottom w:val="0"/>
                              <w:divBdr>
                                <w:top w:val="none" w:sz="0" w:space="0" w:color="auto"/>
                                <w:left w:val="none" w:sz="0" w:space="0" w:color="auto"/>
                                <w:bottom w:val="none" w:sz="0" w:space="0" w:color="auto"/>
                                <w:right w:val="none" w:sz="0" w:space="0" w:color="auto"/>
                              </w:divBdr>
                              <w:divsChild>
                                <w:div w:id="1177041783">
                                  <w:marLeft w:val="0"/>
                                  <w:marRight w:val="0"/>
                                  <w:marTop w:val="0"/>
                                  <w:marBottom w:val="0"/>
                                  <w:divBdr>
                                    <w:top w:val="none" w:sz="0" w:space="0" w:color="auto"/>
                                    <w:left w:val="none" w:sz="0" w:space="0" w:color="auto"/>
                                    <w:bottom w:val="none" w:sz="0" w:space="0" w:color="auto"/>
                                    <w:right w:val="none" w:sz="0" w:space="0" w:color="auto"/>
                                  </w:divBdr>
                                  <w:divsChild>
                                    <w:div w:id="826212587">
                                      <w:marLeft w:val="0"/>
                                      <w:marRight w:val="0"/>
                                      <w:marTop w:val="0"/>
                                      <w:marBottom w:val="0"/>
                                      <w:divBdr>
                                        <w:top w:val="none" w:sz="0" w:space="0" w:color="auto"/>
                                        <w:left w:val="none" w:sz="0" w:space="0" w:color="auto"/>
                                        <w:bottom w:val="none" w:sz="0" w:space="0" w:color="auto"/>
                                        <w:right w:val="none" w:sz="0" w:space="0" w:color="auto"/>
                                      </w:divBdr>
                                      <w:divsChild>
                                        <w:div w:id="254170129">
                                          <w:marLeft w:val="0"/>
                                          <w:marRight w:val="0"/>
                                          <w:marTop w:val="0"/>
                                          <w:marBottom w:val="0"/>
                                          <w:divBdr>
                                            <w:top w:val="none" w:sz="0" w:space="0" w:color="auto"/>
                                            <w:left w:val="none" w:sz="0" w:space="0" w:color="auto"/>
                                            <w:bottom w:val="none" w:sz="0" w:space="0" w:color="auto"/>
                                            <w:right w:val="none" w:sz="0" w:space="0" w:color="auto"/>
                                          </w:divBdr>
                                          <w:divsChild>
                                            <w:div w:id="796684840">
                                              <w:marLeft w:val="0"/>
                                              <w:marRight w:val="0"/>
                                              <w:marTop w:val="0"/>
                                              <w:marBottom w:val="0"/>
                                              <w:divBdr>
                                                <w:top w:val="none" w:sz="0" w:space="0" w:color="auto"/>
                                                <w:left w:val="none" w:sz="0" w:space="0" w:color="auto"/>
                                                <w:bottom w:val="none" w:sz="0" w:space="0" w:color="auto"/>
                                                <w:right w:val="none" w:sz="0" w:space="0" w:color="auto"/>
                                              </w:divBdr>
                                              <w:divsChild>
                                                <w:div w:id="1674257175">
                                                  <w:marLeft w:val="0"/>
                                                  <w:marRight w:val="0"/>
                                                  <w:marTop w:val="0"/>
                                                  <w:marBottom w:val="0"/>
                                                  <w:divBdr>
                                                    <w:top w:val="none" w:sz="0" w:space="0" w:color="auto"/>
                                                    <w:left w:val="none" w:sz="0" w:space="0" w:color="auto"/>
                                                    <w:bottom w:val="none" w:sz="0" w:space="0" w:color="auto"/>
                                                    <w:right w:val="none" w:sz="0" w:space="0" w:color="auto"/>
                                                  </w:divBdr>
                                                  <w:divsChild>
                                                    <w:div w:id="5432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704366">
      <w:bodyDiv w:val="1"/>
      <w:marLeft w:val="0"/>
      <w:marRight w:val="0"/>
      <w:marTop w:val="0"/>
      <w:marBottom w:val="0"/>
      <w:divBdr>
        <w:top w:val="none" w:sz="0" w:space="0" w:color="auto"/>
        <w:left w:val="none" w:sz="0" w:space="0" w:color="auto"/>
        <w:bottom w:val="none" w:sz="0" w:space="0" w:color="auto"/>
        <w:right w:val="none" w:sz="0" w:space="0" w:color="auto"/>
      </w:divBdr>
      <w:divsChild>
        <w:div w:id="197549099">
          <w:marLeft w:val="0"/>
          <w:marRight w:val="0"/>
          <w:marTop w:val="0"/>
          <w:marBottom w:val="0"/>
          <w:divBdr>
            <w:top w:val="none" w:sz="0" w:space="0" w:color="auto"/>
            <w:left w:val="none" w:sz="0" w:space="0" w:color="auto"/>
            <w:bottom w:val="none" w:sz="0" w:space="0" w:color="auto"/>
            <w:right w:val="none" w:sz="0" w:space="0" w:color="auto"/>
          </w:divBdr>
          <w:divsChild>
            <w:div w:id="393551517">
              <w:marLeft w:val="0"/>
              <w:marRight w:val="0"/>
              <w:marTop w:val="0"/>
              <w:marBottom w:val="0"/>
              <w:divBdr>
                <w:top w:val="none" w:sz="0" w:space="0" w:color="auto"/>
                <w:left w:val="none" w:sz="0" w:space="0" w:color="auto"/>
                <w:bottom w:val="none" w:sz="0" w:space="0" w:color="auto"/>
                <w:right w:val="none" w:sz="0" w:space="0" w:color="auto"/>
              </w:divBdr>
              <w:divsChild>
                <w:div w:id="145246053">
                  <w:marLeft w:val="0"/>
                  <w:marRight w:val="0"/>
                  <w:marTop w:val="0"/>
                  <w:marBottom w:val="0"/>
                  <w:divBdr>
                    <w:top w:val="none" w:sz="0" w:space="0" w:color="auto"/>
                    <w:left w:val="none" w:sz="0" w:space="0" w:color="auto"/>
                    <w:bottom w:val="none" w:sz="0" w:space="0" w:color="auto"/>
                    <w:right w:val="none" w:sz="0" w:space="0" w:color="auto"/>
                  </w:divBdr>
                  <w:divsChild>
                    <w:div w:id="1990012334">
                      <w:marLeft w:val="0"/>
                      <w:marRight w:val="0"/>
                      <w:marTop w:val="0"/>
                      <w:marBottom w:val="0"/>
                      <w:divBdr>
                        <w:top w:val="none" w:sz="0" w:space="0" w:color="auto"/>
                        <w:left w:val="none" w:sz="0" w:space="0" w:color="auto"/>
                        <w:bottom w:val="none" w:sz="0" w:space="0" w:color="auto"/>
                        <w:right w:val="none" w:sz="0" w:space="0" w:color="auto"/>
                      </w:divBdr>
                      <w:divsChild>
                        <w:div w:id="113595087">
                          <w:marLeft w:val="0"/>
                          <w:marRight w:val="0"/>
                          <w:marTop w:val="0"/>
                          <w:marBottom w:val="0"/>
                          <w:divBdr>
                            <w:top w:val="none" w:sz="0" w:space="0" w:color="auto"/>
                            <w:left w:val="none" w:sz="0" w:space="0" w:color="auto"/>
                            <w:bottom w:val="none" w:sz="0" w:space="0" w:color="auto"/>
                            <w:right w:val="none" w:sz="0" w:space="0" w:color="auto"/>
                          </w:divBdr>
                          <w:divsChild>
                            <w:div w:id="1969971020">
                              <w:marLeft w:val="0"/>
                              <w:marRight w:val="0"/>
                              <w:marTop w:val="0"/>
                              <w:marBottom w:val="0"/>
                              <w:divBdr>
                                <w:top w:val="none" w:sz="0" w:space="0" w:color="auto"/>
                                <w:left w:val="none" w:sz="0" w:space="0" w:color="auto"/>
                                <w:bottom w:val="none" w:sz="0" w:space="0" w:color="auto"/>
                                <w:right w:val="none" w:sz="0" w:space="0" w:color="auto"/>
                              </w:divBdr>
                              <w:divsChild>
                                <w:div w:id="381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974639">
      <w:bodyDiv w:val="1"/>
      <w:marLeft w:val="0"/>
      <w:marRight w:val="0"/>
      <w:marTop w:val="0"/>
      <w:marBottom w:val="0"/>
      <w:divBdr>
        <w:top w:val="none" w:sz="0" w:space="0" w:color="auto"/>
        <w:left w:val="none" w:sz="0" w:space="0" w:color="auto"/>
        <w:bottom w:val="none" w:sz="0" w:space="0" w:color="auto"/>
        <w:right w:val="none" w:sz="0" w:space="0" w:color="auto"/>
      </w:divBdr>
    </w:div>
    <w:div w:id="1971813032">
      <w:bodyDiv w:val="1"/>
      <w:marLeft w:val="0"/>
      <w:marRight w:val="0"/>
      <w:marTop w:val="0"/>
      <w:marBottom w:val="0"/>
      <w:divBdr>
        <w:top w:val="none" w:sz="0" w:space="0" w:color="auto"/>
        <w:left w:val="none" w:sz="0" w:space="0" w:color="auto"/>
        <w:bottom w:val="none" w:sz="0" w:space="0" w:color="auto"/>
        <w:right w:val="none" w:sz="0" w:space="0" w:color="auto"/>
      </w:divBdr>
    </w:div>
    <w:div w:id="1973560621">
      <w:bodyDiv w:val="1"/>
      <w:marLeft w:val="0"/>
      <w:marRight w:val="0"/>
      <w:marTop w:val="0"/>
      <w:marBottom w:val="0"/>
      <w:divBdr>
        <w:top w:val="none" w:sz="0" w:space="0" w:color="auto"/>
        <w:left w:val="none" w:sz="0" w:space="0" w:color="auto"/>
        <w:bottom w:val="none" w:sz="0" w:space="0" w:color="auto"/>
        <w:right w:val="none" w:sz="0" w:space="0" w:color="auto"/>
      </w:divBdr>
    </w:div>
    <w:div w:id="2132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8g8t13e9vf2o.cloudfront.net/Uploads/o/k/u/03.cc2020_125127.pdf" TargetMode="External"/><Relationship Id="rId18" Type="http://schemas.openxmlformats.org/officeDocument/2006/relationships/image" Target="media/image2.emf"/><Relationship Id="rId26" Type="http://schemas.openxmlformats.org/officeDocument/2006/relationships/hyperlink" Target="https://www.gpif.go.jp/en/investment/20190906_trucost.html" TargetMode="External"/><Relationship Id="rId39" Type="http://schemas.openxmlformats.org/officeDocument/2006/relationships/hyperlink" Target="https://www.unpri.org/climate-change/climate-scenario-analysis-/3606.article" TargetMode="External"/><Relationship Id="rId3" Type="http://schemas.openxmlformats.org/officeDocument/2006/relationships/customXml" Target="../customXml/item3.xml"/><Relationship Id="rId21" Type="http://schemas.openxmlformats.org/officeDocument/2006/relationships/hyperlink" Target="https://www.transitionpathwayinitiative.org/" TargetMode="External"/><Relationship Id="rId34" Type="http://schemas.openxmlformats.org/officeDocument/2006/relationships/hyperlink" Target="https://www.unpri.org/climate-change/an-asset-owners-guide-to-the-tcfd-recommendations/3109.article" TargetMode="External"/><Relationship Id="rId42" Type="http://schemas.openxmlformats.org/officeDocument/2006/relationships/hyperlink" Target="https://www.brighttalk.com/webcast/17701/378894?utm_source=brighttalk-portal&amp;utm_medium=web&amp;utm_content=TCFD&amp;utm_campaign=webcasts-search-results-feed"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pcc.ch/report/ar5/syr/" TargetMode="External"/><Relationship Id="rId25" Type="http://schemas.openxmlformats.org/officeDocument/2006/relationships/hyperlink" Target="https://www.aviva.com/social-purpose/climate-related-financial-disclosure/" TargetMode="External"/><Relationship Id="rId33" Type="http://schemas.openxmlformats.org/officeDocument/2006/relationships/hyperlink" Target="https://www.unpri.org/climate-change/pri-climate-snapshot-2019/4788.article" TargetMode="External"/><Relationship Id="rId38" Type="http://schemas.openxmlformats.org/officeDocument/2006/relationships/hyperlink" Target="https://www.physicalclimaterisk.com/EBRD-GCA_TCFD_physical_climate_final_report.pdf"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finder.bnpparibas-am.com/api/files/1094E5B9-2FAA-47A3-805D-EF65EAD09A7F" TargetMode="External"/><Relationship Id="rId20" Type="http://schemas.openxmlformats.org/officeDocument/2006/relationships/hyperlink" Target="https://www.unpri.org/esg-issues/environmental-issues/climate-change/inevitable-policy-response" TargetMode="External"/><Relationship Id="rId29" Type="http://schemas.openxmlformats.org/officeDocument/2006/relationships/hyperlink" Target="http://www.pingan.com/app_upload/images/info/upload/1e5bab55-e0b5-43de-b664-155b2a02dde3.pdf" TargetMode="External"/><Relationship Id="rId41" Type="http://schemas.openxmlformats.org/officeDocument/2006/relationships/hyperlink" Target="https://www.unpri.org/climate-change/pri-climate-snapshot-2019/4788.artic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porting@unpri.org" TargetMode="External"/><Relationship Id="rId24" Type="http://schemas.openxmlformats.org/officeDocument/2006/relationships/hyperlink" Target="https://www.axa.com/en/about-us/axa-and-climate-change" TargetMode="External"/><Relationship Id="rId32" Type="http://schemas.openxmlformats.org/officeDocument/2006/relationships/hyperlink" Target="https://www.osc.state.ny.us/pension/climate-action-plan-2019.pdf" TargetMode="External"/><Relationship Id="rId37" Type="http://schemas.openxmlformats.org/officeDocument/2006/relationships/hyperlink" Target="https://www.unepfi.org/publications/investment-publications/changing-course-a-comprehensive-investor-guide-to-scenario-based-methods-for-climate-risk-assessment-in-response-to-the-tcfd/" TargetMode="External"/><Relationship Id="rId40" Type="http://schemas.openxmlformats.org/officeDocument/2006/relationships/hyperlink" Target="https://www.unpri.org/climate-change/climate-scenario-analysis-/3606.article"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se.ac.uk/GranthamInstitute/wp-content/uploads/2019/07/GRI_Global-trends-in-climate-change-litigation-2019-snapshot-2.pdf" TargetMode="External"/><Relationship Id="rId23" Type="http://schemas.openxmlformats.org/officeDocument/2006/relationships/hyperlink" Target="https://sciencebasedtargets.org/" TargetMode="External"/><Relationship Id="rId28" Type="http://schemas.openxmlformats.org/officeDocument/2006/relationships/hyperlink" Target="https://www.cdsb.net/sites/default/files/equinor_and_storebrand_case_study_2018.pdf" TargetMode="External"/><Relationship Id="rId36" Type="http://schemas.openxmlformats.org/officeDocument/2006/relationships/hyperlink" Target="http://www.iigcc.org/files/publication-files/Navigating_climate_scenario_analysis_-_a_guide_for_institutional_investors.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ransitionmonitor.com/" TargetMode="External"/><Relationship Id="rId31" Type="http://schemas.openxmlformats.org/officeDocument/2006/relationships/hyperlink" Target="https://www.calstrs.com/sites/main/files/file-attachments/greeninitiativetaskforce2019.pdf?1577987516" TargetMode="External"/><Relationship Id="rId44" Type="http://schemas.openxmlformats.org/officeDocument/2006/relationships/hyperlink" Target="https://www.brighttalk.com/webcast/17701/368031?utm_source=brighttalk-portal&amp;utm_medium=web&amp;utm_content=TCFD&amp;utm_campaign=webcasts-search-results-fe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pri.org/esg-issues/environmental-issues/climate-change/inevitable-policy-response" TargetMode="External"/><Relationship Id="rId22" Type="http://schemas.openxmlformats.org/officeDocument/2006/relationships/hyperlink" Target="https://www.carbontracker.org/" TargetMode="External"/><Relationship Id="rId27" Type="http://schemas.openxmlformats.org/officeDocument/2006/relationships/hyperlink" Target="https://www.calstrs.com/sites/main/files/file-attachments/greeninitiativetaskforce2019.pdf?1577987516" TargetMode="External"/><Relationship Id="rId30" Type="http://schemas.openxmlformats.org/officeDocument/2006/relationships/hyperlink" Target="https://www.cbussuper.com.au/about-us/sustainability" TargetMode="External"/><Relationship Id="rId35" Type="http://schemas.openxmlformats.org/officeDocument/2006/relationships/hyperlink" Target="https://www.tcfdhub.org/" TargetMode="External"/><Relationship Id="rId43" Type="http://schemas.openxmlformats.org/officeDocument/2006/relationships/hyperlink" Target="https://www.youtube.com/watch?v=6V48U-8zrP8"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frascinella\AppData\Local\Microsoft\Windows\Temporary%20Internet%20Files\Content.Outlook\22W19B1V\What's%20New%20tax%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1F054BFA5884DAA655BE959E1E308" ma:contentTypeVersion="0" ma:contentTypeDescription="Create a new document." ma:contentTypeScope="" ma:versionID="89a1b0aee8fedadd1e10470f024ac212">
  <xsd:schema xmlns:xsd="http://www.w3.org/2001/XMLSchema" xmlns:xs="http://www.w3.org/2001/XMLSchema" xmlns:p="http://schemas.microsoft.com/office/2006/metadata/properties" targetNamespace="http://schemas.microsoft.com/office/2006/metadata/properties" ma:root="true" ma:fieldsID="4a71be4df66924ce2c272ac82095c51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F3BF-092B-4C5B-A122-2539536DB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B29FEE-7144-4A3A-A7F6-D94643B4A8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E5D82D-9EBD-44CD-B1F4-4A9B45CCF55C}">
  <ds:schemaRefs>
    <ds:schemaRef ds:uri="http://schemas.microsoft.com/sharepoint/v3/contenttype/forms"/>
  </ds:schemaRefs>
</ds:datastoreItem>
</file>

<file path=customXml/itemProps4.xml><?xml version="1.0" encoding="utf-8"?>
<ds:datastoreItem xmlns:ds="http://schemas.openxmlformats.org/officeDocument/2006/customXml" ds:itemID="{DADFD543-E6DD-4D04-B439-2D0BB23C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What's New tax report</Template>
  <TotalTime>1</TotalTime>
  <Pages>8</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Frascinella</dc:creator>
  <cp:lastModifiedBy>Edward Baker</cp:lastModifiedBy>
  <cp:revision>2</cp:revision>
  <cp:lastPrinted>2012-05-08T12:49:00Z</cp:lastPrinted>
  <dcterms:created xsi:type="dcterms:W3CDTF">2020-01-22T17:14:00Z</dcterms:created>
  <dcterms:modified xsi:type="dcterms:W3CDTF">2020-01-22T17:14:00Z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0x01010016C1F054BFA5884DAA655BE959E1E308</vt:lpwstr>
  </property>
</Properties>
</file>